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CF3D6" w14:textId="6DAAAFD9" w:rsidR="00043269" w:rsidRPr="00043269" w:rsidRDefault="00043269" w:rsidP="00F73FA9">
      <w:pPr>
        <w:spacing w:before="100" w:beforeAutospacing="1" w:after="100" w:afterAutospacing="1" w:line="300" w:lineRule="atLeast"/>
        <w:ind w:left="-567" w:right="-613"/>
        <w:jc w:val="both"/>
        <w:outlineLvl w:val="1"/>
        <w:rPr>
          <w:rFonts w:ascii="Segoe UI" w:eastAsia="Times New Roman" w:hAnsi="Segoe UI" w:cs="Segoe UI"/>
          <w:b/>
          <w:bCs/>
          <w:kern w:val="0"/>
          <w:sz w:val="36"/>
          <w:szCs w:val="36"/>
          <w:lang w:eastAsia="en-GB"/>
          <w14:ligatures w14:val="none"/>
        </w:rPr>
      </w:pPr>
      <w:r w:rsidRPr="00043269">
        <w:rPr>
          <w:rFonts w:ascii="Segoe UI" w:eastAsia="Times New Roman" w:hAnsi="Segoe UI" w:cs="Segoe UI"/>
          <w:b/>
          <w:bCs/>
          <w:kern w:val="0"/>
          <w:sz w:val="36"/>
          <w:szCs w:val="36"/>
          <w:lang w:eastAsia="en-GB"/>
          <w14:ligatures w14:val="none"/>
        </w:rPr>
        <w:t>ISTC Competences for Standardised Climate Services</w:t>
      </w:r>
    </w:p>
    <w:p w14:paraId="083D7AB7" w14:textId="11A88189" w:rsidR="00CC5D4C" w:rsidRDefault="00043269"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r w:rsidRPr="00F73FA9">
        <w:rPr>
          <w:rFonts w:ascii="Segoe UI" w:eastAsia="Times New Roman" w:hAnsi="Segoe UI" w:cs="Segoe UI"/>
          <w:kern w:val="0"/>
          <w:sz w:val="20"/>
          <w:szCs w:val="20"/>
          <w:lang w:eastAsia="en-GB"/>
          <w14:ligatures w14:val="none"/>
        </w:rPr>
        <w:t xml:space="preserve">The Institute of Cognitive Sciences and Technologies (ISTC-CNR), coordinator of the Horizon Europe Innovation Action </w:t>
      </w:r>
      <w:r w:rsidRPr="00F73FA9">
        <w:rPr>
          <w:rFonts w:ascii="Segoe UI" w:eastAsia="Times New Roman" w:hAnsi="Segoe UI" w:cs="Segoe UI"/>
          <w:b/>
          <w:bCs/>
          <w:kern w:val="0"/>
          <w:sz w:val="20"/>
          <w:szCs w:val="20"/>
          <w:lang w:eastAsia="en-GB"/>
          <w14:ligatures w14:val="none"/>
        </w:rPr>
        <w:t>HACID (GA 101070588)</w:t>
      </w:r>
      <w:r w:rsidRPr="00F73FA9">
        <w:rPr>
          <w:rFonts w:ascii="Segoe UI" w:eastAsia="Times New Roman" w:hAnsi="Segoe UI" w:cs="Segoe UI"/>
          <w:kern w:val="0"/>
          <w:sz w:val="20"/>
          <w:szCs w:val="20"/>
          <w:lang w:eastAsia="en-GB"/>
          <w14:ligatures w14:val="none"/>
        </w:rPr>
        <w:t xml:space="preserve">, has developed advanced competences directly aligned with the objectives of the call </w:t>
      </w:r>
      <w:bookmarkStart w:id="0" w:name="_GoBack"/>
      <w:r w:rsidRPr="00F73FA9">
        <w:rPr>
          <w:rFonts w:ascii="Segoe UI" w:eastAsia="Times New Roman" w:hAnsi="Segoe UI" w:cs="Segoe UI"/>
          <w:b/>
          <w:bCs/>
          <w:kern w:val="0"/>
          <w:sz w:val="20"/>
          <w:szCs w:val="20"/>
          <w:lang w:eastAsia="en-GB"/>
          <w14:ligatures w14:val="none"/>
        </w:rPr>
        <w:t>HORIZON-MISS-2026-01-CLIMA-03: Standardising and supporting climate services for climate adaptation</w:t>
      </w:r>
      <w:bookmarkEnd w:id="0"/>
      <w:r w:rsidRPr="00F73FA9">
        <w:rPr>
          <w:rFonts w:ascii="Segoe UI" w:eastAsia="Times New Roman" w:hAnsi="Segoe UI" w:cs="Segoe UI"/>
          <w:kern w:val="0"/>
          <w:sz w:val="20"/>
          <w:szCs w:val="20"/>
          <w:lang w:eastAsia="en-GB"/>
          <w14:ligatures w14:val="none"/>
        </w:rPr>
        <w:t>, contributing to the implementation of the EU Mission on Adaptation to Climate Change.</w:t>
      </w:r>
    </w:p>
    <w:p w14:paraId="69C966CB" w14:textId="77777777" w:rsidR="00F73FA9" w:rsidRPr="00F73FA9" w:rsidRDefault="00F73FA9"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p>
    <w:p w14:paraId="55708691" w14:textId="29541774" w:rsidR="00CC5D4C" w:rsidRDefault="00CC5D4C"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r w:rsidRPr="00F73FA9">
        <w:rPr>
          <w:rFonts w:ascii="Segoe UI" w:eastAsia="Times New Roman" w:hAnsi="Segoe UI" w:cs="Segoe UI"/>
          <w:kern w:val="0"/>
          <w:sz w:val="20"/>
          <w:szCs w:val="20"/>
          <w:lang w:eastAsia="en-GB"/>
          <w14:ligatures w14:val="none"/>
        </w:rPr>
        <w:t xml:space="preserve">A key </w:t>
      </w:r>
      <w:r w:rsidRPr="00F73FA9">
        <w:rPr>
          <w:rFonts w:ascii="Segoe UI" w:eastAsia="Times New Roman" w:hAnsi="Segoe UI" w:cs="Segoe UI"/>
          <w:kern w:val="0"/>
          <w:sz w:val="20"/>
          <w:szCs w:val="20"/>
          <w:lang w:val="en-GB" w:eastAsia="en-GB"/>
          <w14:ligatures w14:val="none"/>
        </w:rPr>
        <w:t>outcome of HACI</w:t>
      </w:r>
      <w:r w:rsidR="00F73FA9" w:rsidRPr="00F73FA9">
        <w:rPr>
          <w:rFonts w:ascii="Segoe UI" w:eastAsia="Times New Roman" w:hAnsi="Segoe UI" w:cs="Segoe UI"/>
          <w:kern w:val="0"/>
          <w:sz w:val="20"/>
          <w:szCs w:val="20"/>
          <w:lang w:val="en-GB" w:eastAsia="en-GB"/>
          <w14:ligatures w14:val="none"/>
        </w:rPr>
        <w:t>D</w:t>
      </w:r>
      <w:r w:rsidRPr="00F73FA9">
        <w:rPr>
          <w:rFonts w:ascii="Segoe UI" w:eastAsia="Times New Roman" w:hAnsi="Segoe UI" w:cs="Segoe UI"/>
          <w:kern w:val="0"/>
          <w:sz w:val="20"/>
          <w:szCs w:val="20"/>
          <w:lang w:eastAsia="en-GB"/>
          <w14:ligatures w14:val="none"/>
        </w:rPr>
        <w:t xml:space="preserve"> is the design and implementation of the </w:t>
      </w:r>
      <w:r w:rsidRPr="00F73FA9">
        <w:rPr>
          <w:rFonts w:ascii="Segoe UI" w:eastAsia="Times New Roman" w:hAnsi="Segoe UI" w:cs="Segoe UI"/>
          <w:b/>
          <w:bCs/>
          <w:kern w:val="0"/>
          <w:sz w:val="20"/>
          <w:szCs w:val="20"/>
          <w:lang w:eastAsia="en-GB"/>
          <w14:ligatures w14:val="none"/>
        </w:rPr>
        <w:t>Climate Service Domain Knowledge Graph (CS-DKG)</w:t>
      </w:r>
      <w:r w:rsidRPr="00F73FA9">
        <w:rPr>
          <w:rFonts w:ascii="Segoe UI" w:eastAsia="Times New Roman" w:hAnsi="Segoe UI" w:cs="Segoe UI"/>
          <w:kern w:val="0"/>
          <w:sz w:val="20"/>
          <w:szCs w:val="20"/>
          <w:lang w:eastAsia="en-GB"/>
          <w14:ligatures w14:val="none"/>
        </w:rPr>
        <w:t xml:space="preserve">, a semantic, standards-based knowledge infrastructure for climate services grounded in ontology engineering principles. </w:t>
      </w:r>
      <w:r w:rsidRPr="00F73FA9">
        <w:rPr>
          <w:rFonts w:ascii="Segoe UI" w:eastAsia="Times New Roman" w:hAnsi="Segoe UI" w:cs="Segoe UI"/>
          <w:kern w:val="0"/>
          <w:sz w:val="20"/>
          <w:szCs w:val="20"/>
          <w:lang w:val="en-GB" w:eastAsia="en-GB"/>
          <w14:ligatures w14:val="none"/>
        </w:rPr>
        <w:t>A</w:t>
      </w:r>
      <w:r w:rsidRPr="00F73FA9">
        <w:rPr>
          <w:rFonts w:ascii="Segoe UI" w:eastAsia="Times New Roman" w:hAnsi="Segoe UI" w:cs="Segoe UI"/>
          <w:kern w:val="0"/>
          <w:sz w:val="20"/>
          <w:szCs w:val="20"/>
          <w:lang w:eastAsia="en-GB"/>
          <w14:ligatures w14:val="none"/>
        </w:rPr>
        <w:t xml:space="preserve"> CS-DKG provides a formal and interoperable representation of climate service</w:t>
      </w:r>
      <w:r w:rsidRPr="00F73FA9">
        <w:rPr>
          <w:rFonts w:ascii="Segoe UI" w:eastAsia="Times New Roman" w:hAnsi="Segoe UI" w:cs="Segoe UI"/>
          <w:kern w:val="0"/>
          <w:sz w:val="20"/>
          <w:szCs w:val="20"/>
          <w:lang w:val="en-GB" w:eastAsia="en-GB"/>
          <w14:ligatures w14:val="none"/>
        </w:rPr>
        <w:t xml:space="preserve"> </w:t>
      </w:r>
      <w:r w:rsidRPr="00F73FA9">
        <w:rPr>
          <w:rFonts w:ascii="Segoe UI" w:eastAsia="Times New Roman" w:hAnsi="Segoe UI" w:cs="Segoe UI"/>
          <w:kern w:val="0"/>
          <w:sz w:val="20"/>
          <w:szCs w:val="20"/>
          <w:lang w:eastAsia="en-GB"/>
          <w14:ligatures w14:val="none"/>
        </w:rPr>
        <w:t>concepts</w:t>
      </w:r>
      <w:r w:rsidRPr="00F73FA9">
        <w:rPr>
          <w:rFonts w:ascii="Segoe UI" w:eastAsia="Times New Roman" w:hAnsi="Segoe UI" w:cs="Segoe UI"/>
          <w:kern w:val="0"/>
          <w:sz w:val="20"/>
          <w:szCs w:val="20"/>
          <w:lang w:val="en-GB" w:eastAsia="en-GB"/>
          <w14:ligatures w14:val="none"/>
        </w:rPr>
        <w:t xml:space="preserve"> (</w:t>
      </w:r>
      <w:r w:rsidR="00F73FA9" w:rsidRPr="00F73FA9">
        <w:rPr>
          <w:rFonts w:ascii="Segoe UI" w:eastAsia="Times New Roman" w:hAnsi="Segoe UI" w:cs="Segoe UI"/>
          <w:kern w:val="0"/>
          <w:sz w:val="20"/>
          <w:szCs w:val="20"/>
          <w:lang w:val="en-GB" w:eastAsia="en-GB"/>
          <w14:ligatures w14:val="none"/>
        </w:rPr>
        <w:t>including</w:t>
      </w:r>
      <w:r w:rsidRPr="00F73FA9">
        <w:rPr>
          <w:rFonts w:ascii="Segoe UI" w:eastAsia="Times New Roman" w:hAnsi="Segoe UI" w:cs="Segoe UI"/>
          <w:kern w:val="0"/>
          <w:sz w:val="20"/>
          <w:szCs w:val="20"/>
          <w:lang w:eastAsia="en-GB"/>
          <w14:ligatures w14:val="none"/>
        </w:rPr>
        <w:t xml:space="preserve"> climate models, variables, indices, projections, hazards, and their relationships</w:t>
      </w:r>
      <w:r w:rsidRPr="00F73FA9">
        <w:rPr>
          <w:rFonts w:ascii="Segoe UI" w:eastAsia="Times New Roman" w:hAnsi="Segoe UI" w:cs="Segoe UI"/>
          <w:kern w:val="0"/>
          <w:sz w:val="20"/>
          <w:szCs w:val="20"/>
          <w:lang w:val="en-GB" w:eastAsia="en-GB"/>
          <w14:ligatures w14:val="none"/>
        </w:rPr>
        <w:t xml:space="preserve">) </w:t>
      </w:r>
      <w:r w:rsidRPr="00F73FA9">
        <w:rPr>
          <w:rFonts w:ascii="Segoe UI" w:eastAsia="Times New Roman" w:hAnsi="Segoe UI" w:cs="Segoe UI"/>
          <w:kern w:val="0"/>
          <w:sz w:val="20"/>
          <w:szCs w:val="20"/>
          <w:lang w:eastAsia="en-GB"/>
          <w14:ligatures w14:val="none"/>
        </w:rPr>
        <w:t>through an ontology-driven framework that captures and organises domain knowledge in a machine-interpretable manner. The knowledge graph integrates data from major international initiatives such as CMIP and CORDEX with rich semantic descriptions, enabling consistent interpretation</w:t>
      </w:r>
      <w:r w:rsidRPr="00F73FA9">
        <w:rPr>
          <w:rFonts w:ascii="Segoe UI" w:eastAsia="Times New Roman" w:hAnsi="Segoe UI" w:cs="Segoe UI"/>
          <w:kern w:val="0"/>
          <w:sz w:val="20"/>
          <w:szCs w:val="20"/>
          <w:lang w:val="en-GB" w:eastAsia="en-GB"/>
          <w14:ligatures w14:val="none"/>
        </w:rPr>
        <w:t xml:space="preserve"> and </w:t>
      </w:r>
      <w:r w:rsidRPr="00F73FA9">
        <w:rPr>
          <w:rFonts w:ascii="Segoe UI" w:eastAsia="Times New Roman" w:hAnsi="Segoe UI" w:cs="Segoe UI"/>
          <w:kern w:val="0"/>
          <w:sz w:val="20"/>
          <w:szCs w:val="20"/>
          <w:lang w:eastAsia="en-GB"/>
          <w14:ligatures w14:val="none"/>
        </w:rPr>
        <w:t>reuse across systems and applications</w:t>
      </w:r>
      <w:r w:rsidRPr="00F73FA9">
        <w:rPr>
          <w:rFonts w:ascii="Segoe UI" w:eastAsia="Times New Roman" w:hAnsi="Segoe UI" w:cs="Segoe UI"/>
          <w:kern w:val="0"/>
          <w:sz w:val="20"/>
          <w:szCs w:val="20"/>
          <w:lang w:val="en-GB" w:eastAsia="en-GB"/>
          <w14:ligatures w14:val="none"/>
        </w:rPr>
        <w:t xml:space="preserve"> at different </w:t>
      </w:r>
      <w:r w:rsidRPr="00F73FA9">
        <w:rPr>
          <w:rFonts w:ascii="Segoe UI" w:eastAsia="Times New Roman" w:hAnsi="Segoe UI" w:cs="Segoe UI"/>
          <w:kern w:val="0"/>
          <w:sz w:val="20"/>
          <w:szCs w:val="20"/>
          <w:lang w:eastAsia="en-GB"/>
          <w14:ligatures w14:val="none"/>
        </w:rPr>
        <w:t>scales (global, regional, local)</w:t>
      </w:r>
      <w:r w:rsidRPr="00F73FA9">
        <w:rPr>
          <w:rFonts w:ascii="Segoe UI" w:eastAsia="Times New Roman" w:hAnsi="Segoe UI" w:cs="Segoe UI"/>
          <w:kern w:val="0"/>
          <w:sz w:val="20"/>
          <w:szCs w:val="20"/>
          <w:lang w:val="en-GB" w:eastAsia="en-GB"/>
          <w14:ligatures w14:val="none"/>
        </w:rPr>
        <w:t xml:space="preserve">. </w:t>
      </w:r>
      <w:r w:rsidRPr="00F73FA9">
        <w:rPr>
          <w:rFonts w:ascii="Segoe UI" w:eastAsia="Times New Roman" w:hAnsi="Segoe UI" w:cs="Segoe UI"/>
          <w:kern w:val="0"/>
          <w:sz w:val="20"/>
          <w:szCs w:val="20"/>
          <w:lang w:eastAsia="en-GB"/>
          <w14:ligatures w14:val="none"/>
        </w:rPr>
        <w:t>Developed in accordance with established ontology engineering methodologies and in close collaboration with leading stakeholders, including the UK Met Office, the CS-DKG ensures scientific rigour, conceptual clarity, provenance traceability, and interoperability. By aligning formal semantic models with operational climate service practices, it facilitates the integration, discovery, and reuse of climate information across diverse applications and decision-making contexts</w:t>
      </w:r>
      <w:r w:rsidRPr="00F73FA9">
        <w:rPr>
          <w:rFonts w:ascii="Segoe UI" w:eastAsia="Times New Roman" w:hAnsi="Segoe UI" w:cs="Segoe UI"/>
          <w:kern w:val="0"/>
          <w:sz w:val="20"/>
          <w:szCs w:val="20"/>
          <w:lang w:val="en-GB" w:eastAsia="en-GB"/>
          <w14:ligatures w14:val="none"/>
        </w:rPr>
        <w:t xml:space="preserve"> including hybrid human-AI solutions</w:t>
      </w:r>
      <w:r w:rsidRPr="00F73FA9">
        <w:rPr>
          <w:rFonts w:ascii="Segoe UI" w:eastAsia="Times New Roman" w:hAnsi="Segoe UI" w:cs="Segoe UI"/>
          <w:kern w:val="0"/>
          <w:sz w:val="20"/>
          <w:szCs w:val="20"/>
          <w:lang w:eastAsia="en-GB"/>
          <w14:ligatures w14:val="none"/>
        </w:rPr>
        <w:t>.</w:t>
      </w:r>
    </w:p>
    <w:p w14:paraId="4498D8D7" w14:textId="77777777" w:rsidR="00F73FA9" w:rsidRPr="00F73FA9" w:rsidRDefault="00F73FA9"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val="en-GB" w:eastAsia="en-GB"/>
          <w14:ligatures w14:val="none"/>
        </w:rPr>
      </w:pPr>
    </w:p>
    <w:p w14:paraId="6FCE06B6" w14:textId="6E4BA02C" w:rsidR="00AA24B6" w:rsidRDefault="00043269"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r w:rsidRPr="00F73FA9">
        <w:rPr>
          <w:rFonts w:ascii="Segoe UI" w:eastAsia="Times New Roman" w:hAnsi="Segoe UI" w:cs="Segoe UI"/>
          <w:kern w:val="0"/>
          <w:sz w:val="20"/>
          <w:szCs w:val="20"/>
          <w:lang w:eastAsia="en-GB"/>
          <w14:ligatures w14:val="none"/>
        </w:rPr>
        <w:t xml:space="preserve">This competence directly addresses the first objective of the call, supporting the </w:t>
      </w:r>
      <w:r w:rsidRPr="00F73FA9">
        <w:rPr>
          <w:rFonts w:ascii="Segoe UI" w:eastAsia="Times New Roman" w:hAnsi="Segoe UI" w:cs="Segoe UI"/>
          <w:b/>
          <w:bCs/>
          <w:kern w:val="0"/>
          <w:sz w:val="20"/>
          <w:szCs w:val="20"/>
          <w:lang w:eastAsia="en-GB"/>
          <w14:ligatures w14:val="none"/>
        </w:rPr>
        <w:t>identification, selection, and consolidation of reference climate datasets and scenarios</w:t>
      </w:r>
      <w:r w:rsidRPr="00F73FA9">
        <w:rPr>
          <w:rFonts w:ascii="Segoe UI" w:eastAsia="Times New Roman" w:hAnsi="Segoe UI" w:cs="Segoe UI"/>
          <w:kern w:val="0"/>
          <w:sz w:val="20"/>
          <w:szCs w:val="20"/>
          <w:lang w:eastAsia="en-GB"/>
          <w14:ligatures w14:val="none"/>
        </w:rPr>
        <w:t xml:space="preserve">. The CS-DKG enables the formalisation of criteria for dataset selection and use, ensuring transparency, reproducibility, and consistency across applications. By encoding metadata, provenance, and relationships between datasets, the system facilitates harmonised use of climate information across scales (global, regional, local), and can be extended with mechanisms for </w:t>
      </w:r>
      <w:r w:rsidRPr="00F73FA9">
        <w:rPr>
          <w:rFonts w:ascii="Segoe UI" w:eastAsia="Times New Roman" w:hAnsi="Segoe UI" w:cs="Segoe UI"/>
          <w:b/>
          <w:bCs/>
          <w:kern w:val="0"/>
          <w:sz w:val="20"/>
          <w:szCs w:val="20"/>
          <w:lang w:eastAsia="en-GB"/>
          <w14:ligatures w14:val="none"/>
        </w:rPr>
        <w:t>continuous updates</w:t>
      </w:r>
      <w:r w:rsidRPr="00F73FA9">
        <w:rPr>
          <w:rFonts w:ascii="Segoe UI" w:eastAsia="Times New Roman" w:hAnsi="Segoe UI" w:cs="Segoe UI"/>
          <w:kern w:val="0"/>
          <w:sz w:val="20"/>
          <w:szCs w:val="20"/>
          <w:lang w:eastAsia="en-GB"/>
          <w14:ligatures w14:val="none"/>
        </w:rPr>
        <w:t xml:space="preserve"> as new scenarios and simulations become available.</w:t>
      </w:r>
    </w:p>
    <w:p w14:paraId="03EF38DA" w14:textId="77777777" w:rsidR="00F73FA9" w:rsidRPr="00F73FA9" w:rsidRDefault="00F73FA9"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p>
    <w:p w14:paraId="059D30A0" w14:textId="77777777" w:rsidR="00043269" w:rsidRDefault="00043269"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r w:rsidRPr="00F73FA9">
        <w:rPr>
          <w:rFonts w:ascii="Segoe UI" w:eastAsia="Times New Roman" w:hAnsi="Segoe UI" w:cs="Segoe UI"/>
          <w:kern w:val="0"/>
          <w:sz w:val="20"/>
          <w:szCs w:val="20"/>
          <w:lang w:eastAsia="en-GB"/>
          <w14:ligatures w14:val="none"/>
        </w:rPr>
        <w:t xml:space="preserve">ISTC has also developed methodologies to </w:t>
      </w:r>
      <w:r w:rsidRPr="00F73FA9">
        <w:rPr>
          <w:rFonts w:ascii="Segoe UI" w:eastAsia="Times New Roman" w:hAnsi="Segoe UI" w:cs="Segoe UI"/>
          <w:b/>
          <w:bCs/>
          <w:kern w:val="0"/>
          <w:sz w:val="20"/>
          <w:szCs w:val="20"/>
          <w:lang w:eastAsia="en-GB"/>
          <w14:ligatures w14:val="none"/>
        </w:rPr>
        <w:t>formalise and standardise the processes underlying climate service provision</w:t>
      </w:r>
      <w:r w:rsidRPr="00F73FA9">
        <w:rPr>
          <w:rFonts w:ascii="Segoe UI" w:eastAsia="Times New Roman" w:hAnsi="Segoe UI" w:cs="Segoe UI"/>
          <w:kern w:val="0"/>
          <w:sz w:val="20"/>
          <w:szCs w:val="20"/>
          <w:lang w:eastAsia="en-GB"/>
          <w14:ligatures w14:val="none"/>
        </w:rPr>
        <w:t xml:space="preserve">. These are represented within the knowledge graph as structured workflows, capturing best practices for risk assessment and adaptation planning. This contributes to the second objective of the call by supporting the </w:t>
      </w:r>
      <w:r w:rsidRPr="00F73FA9">
        <w:rPr>
          <w:rFonts w:ascii="Segoe UI" w:eastAsia="Times New Roman" w:hAnsi="Segoe UI" w:cs="Segoe UI"/>
          <w:b/>
          <w:bCs/>
          <w:kern w:val="0"/>
          <w:sz w:val="20"/>
          <w:szCs w:val="20"/>
          <w:lang w:eastAsia="en-GB"/>
          <w14:ligatures w14:val="none"/>
        </w:rPr>
        <w:t>standardisation of climate service procedures</w:t>
      </w:r>
      <w:r w:rsidRPr="00F73FA9">
        <w:rPr>
          <w:rFonts w:ascii="Segoe UI" w:eastAsia="Times New Roman" w:hAnsi="Segoe UI" w:cs="Segoe UI"/>
          <w:kern w:val="0"/>
          <w:sz w:val="20"/>
          <w:szCs w:val="20"/>
          <w:lang w:eastAsia="en-GB"/>
          <w14:ligatures w14:val="none"/>
        </w:rPr>
        <w:t>, ensuring that decision-making processes are consistent, traceable, and aligned with scientific evidence.</w:t>
      </w:r>
    </w:p>
    <w:p w14:paraId="3278ADE1" w14:textId="77777777" w:rsidR="00F73FA9" w:rsidRPr="00F73FA9" w:rsidRDefault="00F73FA9"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p>
    <w:p w14:paraId="7A5F15F4" w14:textId="77777777" w:rsidR="00043269" w:rsidRDefault="00043269"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r w:rsidRPr="00F73FA9">
        <w:rPr>
          <w:rFonts w:ascii="Segoe UI" w:eastAsia="Times New Roman" w:hAnsi="Segoe UI" w:cs="Segoe UI"/>
          <w:kern w:val="0"/>
          <w:sz w:val="20"/>
          <w:szCs w:val="20"/>
          <w:lang w:eastAsia="en-GB"/>
          <w14:ligatures w14:val="none"/>
        </w:rPr>
        <w:t xml:space="preserve">The CS-DKG acts as a </w:t>
      </w:r>
      <w:r w:rsidRPr="00F73FA9">
        <w:rPr>
          <w:rFonts w:ascii="Segoe UI" w:eastAsia="Times New Roman" w:hAnsi="Segoe UI" w:cs="Segoe UI"/>
          <w:b/>
          <w:bCs/>
          <w:kern w:val="0"/>
          <w:sz w:val="20"/>
          <w:szCs w:val="20"/>
          <w:lang w:eastAsia="en-GB"/>
          <w14:ligatures w14:val="none"/>
        </w:rPr>
        <w:t>core enabling infrastructure for quality assurance and interoperability</w:t>
      </w:r>
      <w:r w:rsidRPr="00F73FA9">
        <w:rPr>
          <w:rFonts w:ascii="Segoe UI" w:eastAsia="Times New Roman" w:hAnsi="Segoe UI" w:cs="Segoe UI"/>
          <w:kern w:val="0"/>
          <w:sz w:val="20"/>
          <w:szCs w:val="20"/>
          <w:lang w:eastAsia="en-GB"/>
          <w14:ligatures w14:val="none"/>
        </w:rPr>
        <w:t xml:space="preserve">, addressing key barriers identified in the call, such as fragmentation of practices and lack of consistent standards. By providing a shared semantic layer, it facilitates integration of heterogeneous data sources and supports the development of </w:t>
      </w:r>
      <w:r w:rsidRPr="00F73FA9">
        <w:rPr>
          <w:rFonts w:ascii="Segoe UI" w:eastAsia="Times New Roman" w:hAnsi="Segoe UI" w:cs="Segoe UI"/>
          <w:b/>
          <w:bCs/>
          <w:kern w:val="0"/>
          <w:sz w:val="20"/>
          <w:szCs w:val="20"/>
          <w:lang w:eastAsia="en-GB"/>
          <w14:ligatures w14:val="none"/>
        </w:rPr>
        <w:t>user-centric, accessible, and trustworthy climate services</w:t>
      </w:r>
      <w:r w:rsidRPr="00F73FA9">
        <w:rPr>
          <w:rFonts w:ascii="Segoe UI" w:eastAsia="Times New Roman" w:hAnsi="Segoe UI" w:cs="Segoe UI"/>
          <w:kern w:val="0"/>
          <w:sz w:val="20"/>
          <w:szCs w:val="20"/>
          <w:lang w:eastAsia="en-GB"/>
          <w14:ligatures w14:val="none"/>
        </w:rPr>
        <w:t>.</w:t>
      </w:r>
    </w:p>
    <w:p w14:paraId="30B339F0" w14:textId="77777777" w:rsidR="00F73FA9" w:rsidRPr="00F73FA9" w:rsidRDefault="00F73FA9"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p>
    <w:p w14:paraId="2CDA3BCF" w14:textId="77777777" w:rsidR="00043269" w:rsidRDefault="00043269"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r w:rsidRPr="00F73FA9">
        <w:rPr>
          <w:rFonts w:ascii="Segoe UI" w:eastAsia="Times New Roman" w:hAnsi="Segoe UI" w:cs="Segoe UI"/>
          <w:kern w:val="0"/>
          <w:sz w:val="20"/>
          <w:szCs w:val="20"/>
          <w:lang w:eastAsia="en-GB"/>
          <w14:ligatures w14:val="none"/>
        </w:rPr>
        <w:t xml:space="preserve">Furthermore, ISTC has demonstrated the application of this approach through a </w:t>
      </w:r>
      <w:r w:rsidRPr="00F73FA9">
        <w:rPr>
          <w:rFonts w:ascii="Segoe UI" w:eastAsia="Times New Roman" w:hAnsi="Segoe UI" w:cs="Segoe UI"/>
          <w:b/>
          <w:bCs/>
          <w:kern w:val="0"/>
          <w:sz w:val="20"/>
          <w:szCs w:val="20"/>
          <w:lang w:eastAsia="en-GB"/>
          <w14:ligatures w14:val="none"/>
        </w:rPr>
        <w:t>Decision Support System (DSS)</w:t>
      </w:r>
      <w:r w:rsidRPr="00F73FA9">
        <w:rPr>
          <w:rFonts w:ascii="Segoe UI" w:eastAsia="Times New Roman" w:hAnsi="Segoe UI" w:cs="Segoe UI"/>
          <w:kern w:val="0"/>
          <w:sz w:val="20"/>
          <w:szCs w:val="20"/>
          <w:lang w:eastAsia="en-GB"/>
          <w14:ligatures w14:val="none"/>
        </w:rPr>
        <w:t xml:space="preserve"> that leverages the knowledge graph to guide experts in the construction of structured workflows for climate risk assessment. These workflows ensure that all relevant data sources, models, and assumptions are explicitly considered and documented, improving the </w:t>
      </w:r>
      <w:r w:rsidRPr="00F73FA9">
        <w:rPr>
          <w:rFonts w:ascii="Segoe UI" w:eastAsia="Times New Roman" w:hAnsi="Segoe UI" w:cs="Segoe UI"/>
          <w:b/>
          <w:bCs/>
          <w:kern w:val="0"/>
          <w:sz w:val="20"/>
          <w:szCs w:val="20"/>
          <w:lang w:eastAsia="en-GB"/>
          <w14:ligatures w14:val="none"/>
        </w:rPr>
        <w:t>quality, transparency, and reproducibility of climate services</w:t>
      </w:r>
      <w:r w:rsidRPr="00F73FA9">
        <w:rPr>
          <w:rFonts w:ascii="Segoe UI" w:eastAsia="Times New Roman" w:hAnsi="Segoe UI" w:cs="Segoe UI"/>
          <w:kern w:val="0"/>
          <w:sz w:val="20"/>
          <w:szCs w:val="20"/>
          <w:lang w:eastAsia="en-GB"/>
          <w14:ligatures w14:val="none"/>
        </w:rPr>
        <w:t xml:space="preserve"> and enhancing their uptake in decision-making contexts.</w:t>
      </w:r>
    </w:p>
    <w:p w14:paraId="4E381C40" w14:textId="77777777" w:rsidR="00F73FA9" w:rsidRPr="00F73FA9" w:rsidRDefault="00F73FA9"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p>
    <w:p w14:paraId="3FEDCBF2" w14:textId="77777777" w:rsidR="00F73FA9" w:rsidRDefault="00043269"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r w:rsidRPr="00F73FA9">
        <w:rPr>
          <w:rFonts w:ascii="Segoe UI" w:eastAsia="Times New Roman" w:hAnsi="Segoe UI" w:cs="Segoe UI"/>
          <w:kern w:val="0"/>
          <w:sz w:val="20"/>
          <w:szCs w:val="20"/>
          <w:lang w:eastAsia="en-GB"/>
          <w14:ligatures w14:val="none"/>
        </w:rPr>
        <w:t xml:space="preserve">The HACID approach is inherently designed for </w:t>
      </w:r>
      <w:r w:rsidRPr="00F73FA9">
        <w:rPr>
          <w:rFonts w:ascii="Segoe UI" w:eastAsia="Times New Roman" w:hAnsi="Segoe UI" w:cs="Segoe UI"/>
          <w:b/>
          <w:bCs/>
          <w:kern w:val="0"/>
          <w:sz w:val="20"/>
          <w:szCs w:val="20"/>
          <w:lang w:eastAsia="en-GB"/>
          <w14:ligatures w14:val="none"/>
        </w:rPr>
        <w:t>scalability and cross-domain transferability</w:t>
      </w:r>
      <w:r w:rsidRPr="00F73FA9">
        <w:rPr>
          <w:rFonts w:ascii="Segoe UI" w:eastAsia="Times New Roman" w:hAnsi="Segoe UI" w:cs="Segoe UI"/>
          <w:kern w:val="0"/>
          <w:sz w:val="20"/>
          <w:szCs w:val="20"/>
          <w:lang w:eastAsia="en-GB"/>
          <w14:ligatures w14:val="none"/>
        </w:rPr>
        <w:t xml:space="preserve">, allowing extension to additional sectors relevant for climate adaptation (e.g. water management, energy, infrastructure). This supports the broader objectives of the call in promoting </w:t>
      </w:r>
      <w:r w:rsidRPr="00F73FA9">
        <w:rPr>
          <w:rFonts w:ascii="Segoe UI" w:eastAsia="Times New Roman" w:hAnsi="Segoe UI" w:cs="Segoe UI"/>
          <w:b/>
          <w:bCs/>
          <w:kern w:val="0"/>
          <w:sz w:val="20"/>
          <w:szCs w:val="20"/>
          <w:lang w:eastAsia="en-GB"/>
          <w14:ligatures w14:val="none"/>
        </w:rPr>
        <w:t>standardised climate services across sectors and policy domains</w:t>
      </w:r>
      <w:r w:rsidRPr="00F73FA9">
        <w:rPr>
          <w:rFonts w:ascii="Segoe UI" w:eastAsia="Times New Roman" w:hAnsi="Segoe UI" w:cs="Segoe UI"/>
          <w:kern w:val="0"/>
          <w:sz w:val="20"/>
          <w:szCs w:val="20"/>
          <w:lang w:eastAsia="en-GB"/>
          <w14:ligatures w14:val="none"/>
        </w:rPr>
        <w:t>, and enabling their effective use in adaptation strategies, investment planning, and risk management</w:t>
      </w:r>
      <w:r w:rsidR="00F73FA9">
        <w:rPr>
          <w:rFonts w:ascii="Segoe UI" w:eastAsia="Times New Roman" w:hAnsi="Segoe UI" w:cs="Segoe UI"/>
          <w:kern w:val="0"/>
          <w:sz w:val="20"/>
          <w:szCs w:val="20"/>
          <w:lang w:eastAsia="en-GB"/>
          <w14:ligatures w14:val="none"/>
        </w:rPr>
        <w:t xml:space="preserve">. </w:t>
      </w:r>
    </w:p>
    <w:p w14:paraId="2EC4699B" w14:textId="77777777" w:rsidR="00F73FA9" w:rsidRDefault="00F73FA9"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p>
    <w:p w14:paraId="233389E3" w14:textId="1430CA0F" w:rsidR="00CC5D4C" w:rsidRPr="00F73FA9" w:rsidRDefault="00CC5D4C" w:rsidP="00F73FA9">
      <w:pPr>
        <w:snapToGrid w:val="0"/>
        <w:spacing w:before="120" w:after="100" w:afterAutospacing="1" w:line="240" w:lineRule="auto"/>
        <w:ind w:left="-567" w:right="-567"/>
        <w:contextualSpacing/>
        <w:jc w:val="both"/>
        <w:rPr>
          <w:rFonts w:ascii="Segoe UI" w:eastAsia="Times New Roman" w:hAnsi="Segoe UI" w:cs="Segoe UI"/>
          <w:kern w:val="0"/>
          <w:sz w:val="20"/>
          <w:szCs w:val="20"/>
          <w:lang w:eastAsia="en-GB"/>
          <w14:ligatures w14:val="none"/>
        </w:rPr>
      </w:pPr>
      <w:r w:rsidRPr="00F73FA9">
        <w:rPr>
          <w:rFonts w:ascii="Segoe UI" w:eastAsia="Times New Roman" w:hAnsi="Segoe UI" w:cs="Segoe UI"/>
          <w:kern w:val="0"/>
          <w:sz w:val="20"/>
          <w:szCs w:val="20"/>
          <w:lang w:eastAsia="en-GB"/>
          <w14:ligatures w14:val="none"/>
        </w:rPr>
        <w:t>ISTC's expertise in semantic modelling, knowledge graph design, and workflow standardisation provides a strong basis for advancing interoperable, high-quality climate services in line with the European Mission on Adaptation to Climate Change.</w:t>
      </w:r>
    </w:p>
    <w:p w14:paraId="56AF2AED" w14:textId="2B2A1B38" w:rsidR="00043269" w:rsidRPr="00F73FA9" w:rsidRDefault="00043269" w:rsidP="00F73FA9">
      <w:pPr>
        <w:spacing w:before="100" w:beforeAutospacing="1" w:after="100" w:afterAutospacing="1" w:line="300" w:lineRule="atLeast"/>
        <w:ind w:left="-567" w:right="-613"/>
        <w:jc w:val="both"/>
        <w:rPr>
          <w:rFonts w:ascii="Segoe UI" w:eastAsia="Times New Roman" w:hAnsi="Segoe UI" w:cs="Segoe UI"/>
          <w:kern w:val="0"/>
          <w:sz w:val="20"/>
          <w:szCs w:val="20"/>
          <w:lang w:eastAsia="en-GB"/>
          <w14:ligatures w14:val="none"/>
        </w:rPr>
      </w:pPr>
    </w:p>
    <w:p w14:paraId="62C71389" w14:textId="77777777" w:rsidR="00043269" w:rsidRPr="00F73FA9" w:rsidRDefault="00043269" w:rsidP="00F73FA9">
      <w:pPr>
        <w:ind w:left="-567" w:right="-613"/>
        <w:jc w:val="both"/>
        <w:rPr>
          <w:sz w:val="20"/>
          <w:szCs w:val="20"/>
        </w:rPr>
      </w:pPr>
    </w:p>
    <w:sectPr w:rsidR="00043269" w:rsidRPr="00F73FA9" w:rsidSect="00F73FA9">
      <w:pgSz w:w="11906" w:h="16838"/>
      <w:pgMar w:top="852" w:right="1440" w:bottom="7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69"/>
    <w:rsid w:val="00043269"/>
    <w:rsid w:val="003241E0"/>
    <w:rsid w:val="0058589C"/>
    <w:rsid w:val="00AA24B6"/>
    <w:rsid w:val="00CC5D4C"/>
    <w:rsid w:val="00F73FA9"/>
    <w:rsid w:val="00FE61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1F0D"/>
  <w15:chartTrackingRefBased/>
  <w15:docId w15:val="{B8800890-57B2-2E44-827C-62726753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43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043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4326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4326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43269"/>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04326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4326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4326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4326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4326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04326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4326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4326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4326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04326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4326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4326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43269"/>
    <w:rPr>
      <w:rFonts w:eastAsiaTheme="majorEastAsia" w:cstheme="majorBidi"/>
      <w:color w:val="272727" w:themeColor="text1" w:themeTint="D8"/>
    </w:rPr>
  </w:style>
  <w:style w:type="paragraph" w:styleId="Nzov">
    <w:name w:val="Title"/>
    <w:basedOn w:val="Normlny"/>
    <w:next w:val="Normlny"/>
    <w:link w:val="NzovChar"/>
    <w:uiPriority w:val="10"/>
    <w:qFormat/>
    <w:rsid w:val="00043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4326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4326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4326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4326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43269"/>
    <w:rPr>
      <w:i/>
      <w:iCs/>
      <w:color w:val="404040" w:themeColor="text1" w:themeTint="BF"/>
    </w:rPr>
  </w:style>
  <w:style w:type="paragraph" w:styleId="Odsekzoznamu">
    <w:name w:val="List Paragraph"/>
    <w:basedOn w:val="Normlny"/>
    <w:uiPriority w:val="34"/>
    <w:qFormat/>
    <w:rsid w:val="00043269"/>
    <w:pPr>
      <w:ind w:left="720"/>
      <w:contextualSpacing/>
    </w:pPr>
  </w:style>
  <w:style w:type="character" w:styleId="Intenzvnezvraznenie">
    <w:name w:val="Intense Emphasis"/>
    <w:basedOn w:val="Predvolenpsmoodseku"/>
    <w:uiPriority w:val="21"/>
    <w:qFormat/>
    <w:rsid w:val="00043269"/>
    <w:rPr>
      <w:i/>
      <w:iCs/>
      <w:color w:val="0F4761" w:themeColor="accent1" w:themeShade="BF"/>
    </w:rPr>
  </w:style>
  <w:style w:type="paragraph" w:styleId="Zvraznencitcia">
    <w:name w:val="Intense Quote"/>
    <w:basedOn w:val="Normlny"/>
    <w:next w:val="Normlny"/>
    <w:link w:val="ZvraznencitciaChar"/>
    <w:uiPriority w:val="30"/>
    <w:qFormat/>
    <w:rsid w:val="00043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43269"/>
    <w:rPr>
      <w:i/>
      <w:iCs/>
      <w:color w:val="0F4761" w:themeColor="accent1" w:themeShade="BF"/>
    </w:rPr>
  </w:style>
  <w:style w:type="character" w:styleId="Zvraznenodkaz">
    <w:name w:val="Intense Reference"/>
    <w:basedOn w:val="Predvolenpsmoodseku"/>
    <w:uiPriority w:val="32"/>
    <w:qFormat/>
    <w:rsid w:val="00043269"/>
    <w:rPr>
      <w:b/>
      <w:bCs/>
      <w:smallCaps/>
      <w:color w:val="0F4761" w:themeColor="accent1" w:themeShade="BF"/>
      <w:spacing w:val="5"/>
    </w:rPr>
  </w:style>
  <w:style w:type="paragraph" w:styleId="Normlnywebov">
    <w:name w:val="Normal (Web)"/>
    <w:basedOn w:val="Normlny"/>
    <w:uiPriority w:val="99"/>
    <w:semiHidden/>
    <w:unhideWhenUsed/>
    <w:rsid w:val="0004326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Vrazn">
    <w:name w:val="Strong"/>
    <w:basedOn w:val="Predvolenpsmoodseku"/>
    <w:uiPriority w:val="22"/>
    <w:qFormat/>
    <w:rsid w:val="00043269"/>
    <w:rPr>
      <w:b/>
      <w:bCs/>
    </w:rPr>
  </w:style>
  <w:style w:type="paragraph" w:styleId="Revzia">
    <w:name w:val="Revision"/>
    <w:hidden/>
    <w:uiPriority w:val="99"/>
    <w:semiHidden/>
    <w:rsid w:val="00AA2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3774</Characters>
  <Application>Microsoft Office Word</Application>
  <DocSecurity>4</DocSecurity>
  <Lines>31</Lines>
  <Paragraphs>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ISTC-CNR</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Trianni</dc:creator>
  <cp:keywords/>
  <dc:description/>
  <cp:lastModifiedBy>Tuzinska Miroslava</cp:lastModifiedBy>
  <cp:revision>2</cp:revision>
  <dcterms:created xsi:type="dcterms:W3CDTF">2026-07-03T10:53:00Z</dcterms:created>
  <dcterms:modified xsi:type="dcterms:W3CDTF">2026-07-03T10:53:00Z</dcterms:modified>
</cp:coreProperties>
</file>