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47CA" w14:textId="16F906CA" w:rsidR="00B44BB6" w:rsidRPr="001C1423" w:rsidRDefault="00C863B6">
      <w:pPr>
        <w:jc w:val="center"/>
        <w:rPr>
          <w:b/>
          <w:color w:val="112645"/>
        </w:rPr>
      </w:pPr>
      <w:r w:rsidRPr="001C1423">
        <w:rPr>
          <w:b/>
          <w:color w:val="112645"/>
        </w:rPr>
        <w:t xml:space="preserve">Project Partner Search Form </w:t>
      </w:r>
    </w:p>
    <w:p w14:paraId="10EED911" w14:textId="77777777" w:rsidR="00B44BB6" w:rsidRPr="001C1423" w:rsidRDefault="00B44BB6">
      <w:pPr>
        <w:spacing w:after="80"/>
        <w:rPr>
          <w:color w:val="112645"/>
        </w:rPr>
      </w:pPr>
    </w:p>
    <w:p w14:paraId="360A1BFF" w14:textId="123DE2D0" w:rsidR="00B44BB6" w:rsidRPr="001C1423" w:rsidRDefault="00D86D2E">
      <w:pPr>
        <w:spacing w:after="80"/>
        <w:rPr>
          <w:color w:val="112645"/>
        </w:rPr>
      </w:pPr>
      <w:sdt>
        <w:sdtPr>
          <w:rPr>
            <w:rFonts w:ascii="MS Gothic" w:eastAsia="MS Gothic" w:hAnsi="MS Gothic" w:cs="MS Gothic"/>
            <w:color w:val="112645"/>
          </w:rPr>
          <w:id w:val="-770081026"/>
          <w14:checkbox>
            <w14:checked w14:val="1"/>
            <w14:checkedState w14:val="2612" w14:font="MS Gothic"/>
            <w14:uncheckedState w14:val="2610" w14:font="MS Gothic"/>
          </w14:checkbox>
        </w:sdtPr>
        <w:sdtEndPr/>
        <w:sdtContent>
          <w:r w:rsidR="004627C6">
            <w:rPr>
              <w:rFonts w:ascii="MS Gothic" w:eastAsia="MS Gothic" w:hAnsi="MS Gothic" w:cs="MS Gothic" w:hint="eastAsia"/>
              <w:color w:val="112645"/>
            </w:rPr>
            <w:t>☒</w:t>
          </w:r>
        </w:sdtContent>
      </w:sdt>
      <w:r w:rsidR="00C863B6" w:rsidRPr="001C1423">
        <w:rPr>
          <w:color w:val="112645"/>
        </w:rPr>
        <w:t xml:space="preserve"> I offer my expertise to participate as a Partner in a H</w:t>
      </w:r>
      <w:r w:rsidR="003824EC" w:rsidRPr="001C1423">
        <w:rPr>
          <w:color w:val="112645"/>
        </w:rPr>
        <w:t>orizon Europe</w:t>
      </w:r>
      <w:r w:rsidR="00C863B6" w:rsidRPr="001C1423">
        <w:rPr>
          <w:color w:val="112645"/>
        </w:rPr>
        <w:t xml:space="preserve"> Project </w:t>
      </w:r>
    </w:p>
    <w:p w14:paraId="3CE0CFAB" w14:textId="3BD6AD43" w:rsidR="00B44BB6" w:rsidRPr="001C1423" w:rsidRDefault="00D86D2E">
      <w:pPr>
        <w:spacing w:after="80"/>
        <w:rPr>
          <w:color w:val="112645"/>
        </w:rPr>
      </w:pPr>
      <w:sdt>
        <w:sdtPr>
          <w:rPr>
            <w:rFonts w:ascii="MS Gothic" w:eastAsia="MS Gothic" w:hAnsi="MS Gothic" w:cs="MS Gothic"/>
            <w:color w:val="112645"/>
          </w:rPr>
          <w:id w:val="845372596"/>
          <w14:checkbox>
            <w14:checked w14:val="0"/>
            <w14:checkedState w14:val="2612" w14:font="MS Gothic"/>
            <w14:uncheckedState w14:val="2610" w14:font="MS Gothic"/>
          </w14:checkbox>
        </w:sdtPr>
        <w:sdtEndPr/>
        <w:sdtContent>
          <w:r w:rsidR="007D4B49" w:rsidRPr="001C1423">
            <w:rPr>
              <w:rFonts w:ascii="MS Gothic" w:eastAsia="MS Gothic" w:hAnsi="MS Gothic" w:cs="MS Gothic" w:hint="eastAsia"/>
              <w:color w:val="112645"/>
            </w:rPr>
            <w:t>☐</w:t>
          </w:r>
        </w:sdtContent>
      </w:sdt>
      <w:r w:rsidR="00C863B6" w:rsidRPr="001C1423">
        <w:rPr>
          <w:color w:val="112645"/>
        </w:rPr>
        <w:t xml:space="preserve"> I am planning to coordinate a project and I am looking for Project Partners </w:t>
      </w:r>
    </w:p>
    <w:p w14:paraId="178B9848" w14:textId="77777777" w:rsidR="00B44BB6" w:rsidRPr="001C1423" w:rsidRDefault="00B44BB6">
      <w:pPr>
        <w:spacing w:after="80"/>
        <w:rPr>
          <w:color w:val="112645"/>
        </w:rPr>
      </w:pPr>
    </w:p>
    <w:p w14:paraId="615DCEBB" w14:textId="77777777" w:rsidR="00B44BB6" w:rsidRPr="001C1423"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TOPICS OF INTEREST</w:t>
      </w:r>
    </w:p>
    <w:p w14:paraId="73835470" w14:textId="551E4409" w:rsidR="00B44BB6" w:rsidRPr="00EC7459" w:rsidRDefault="00EC7459" w:rsidP="00EC7459">
      <w:pPr>
        <w:spacing w:after="80"/>
        <w:rPr>
          <w:b/>
          <w:bCs/>
          <w:i/>
          <w:iCs/>
          <w:color w:val="112645"/>
        </w:rPr>
      </w:pPr>
      <w:r w:rsidRPr="00EC7459">
        <w:rPr>
          <w:b/>
          <w:bCs/>
          <w:i/>
          <w:iCs/>
          <w:color w:val="112645"/>
        </w:rPr>
        <w:t>HORIZON-HLTH-2024-DISEASE-13-01: Implementation research for management of multiple long-term conditions in the context of non-communicable diseases (Global Alliance for Chronic Diseases – GACD</w:t>
      </w:r>
    </w:p>
    <w:p w14:paraId="104B4BB2" w14:textId="77777777" w:rsidR="00B44BB6" w:rsidRPr="001C1423" w:rsidRDefault="00B44BB6">
      <w:pPr>
        <w:spacing w:after="80"/>
        <w:rPr>
          <w:color w:val="112645"/>
        </w:rPr>
      </w:pPr>
    </w:p>
    <w:p w14:paraId="33A39AA5" w14:textId="77777777" w:rsidR="00B44BB6" w:rsidRPr="001C1423"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PARTNER INFORMATION</w:t>
      </w:r>
    </w:p>
    <w:p w14:paraId="1A083CA6" w14:textId="77777777" w:rsidR="001C1423" w:rsidRPr="001C1423" w:rsidRDefault="001C1423" w:rsidP="001C1423">
      <w:pPr>
        <w:bidi/>
        <w:rPr>
          <w:color w:val="112645"/>
          <w:rtl/>
          <w:lang w:bidi="he-IL"/>
        </w:rPr>
      </w:pPr>
    </w:p>
    <w:p w14:paraId="66BE3CF2" w14:textId="51F66E70" w:rsidR="00B44BB6" w:rsidRDefault="003824EC">
      <w:pPr>
        <w:rPr>
          <w:b/>
          <w:color w:val="112645"/>
          <w:u w:val="single"/>
        </w:rPr>
      </w:pPr>
      <w:r w:rsidRPr="001C1423">
        <w:rPr>
          <w:b/>
          <w:color w:val="112645"/>
          <w:u w:val="single"/>
        </w:rPr>
        <w:t>D</w:t>
      </w:r>
      <w:r w:rsidR="00C863B6" w:rsidRPr="001C1423">
        <w:rPr>
          <w:b/>
          <w:color w:val="112645"/>
          <w:u w:val="single"/>
        </w:rPr>
        <w:t>escription of the Legal Entity</w:t>
      </w:r>
    </w:p>
    <w:p w14:paraId="692F266B" w14:textId="35633C63" w:rsidR="009B0321" w:rsidRPr="009B0321" w:rsidRDefault="009B0321" w:rsidP="009B0321">
      <w:pPr>
        <w:rPr>
          <w:b/>
          <w:bCs/>
          <w:color w:val="112645"/>
          <w:u w:val="single"/>
        </w:rPr>
      </w:pPr>
      <w:r w:rsidRPr="009B0321">
        <w:rPr>
          <w:b/>
          <w:bCs/>
          <w:color w:val="112645"/>
          <w:u w:val="single"/>
        </w:rPr>
        <w:t xml:space="preserve">The Russell </w:t>
      </w:r>
      <w:proofErr w:type="spellStart"/>
      <w:r w:rsidRPr="009B0321">
        <w:rPr>
          <w:b/>
          <w:bCs/>
          <w:color w:val="112645"/>
          <w:u w:val="single"/>
        </w:rPr>
        <w:t>Berrie</w:t>
      </w:r>
      <w:proofErr w:type="spellEnd"/>
      <w:r w:rsidRPr="009B0321">
        <w:rPr>
          <w:b/>
          <w:bCs/>
          <w:color w:val="112645"/>
          <w:u w:val="single"/>
        </w:rPr>
        <w:t xml:space="preserve"> Galilee Diabetes SPHERE</w:t>
      </w:r>
    </w:p>
    <w:p w14:paraId="11758567" w14:textId="77777777" w:rsidR="00EC7459" w:rsidRPr="00EC7459" w:rsidRDefault="00EC7459" w:rsidP="00EC7459">
      <w:pPr>
        <w:rPr>
          <w:bCs/>
          <w:color w:val="112645"/>
        </w:rPr>
      </w:pPr>
      <w:r w:rsidRPr="00EC7459">
        <w:rPr>
          <w:bCs/>
          <w:color w:val="112645"/>
        </w:rPr>
        <w:t xml:space="preserve">SPHERE - </w:t>
      </w:r>
      <w:r w:rsidRPr="00EC7459">
        <w:rPr>
          <w:bCs/>
          <w:i/>
          <w:iCs/>
          <w:color w:val="112645"/>
        </w:rPr>
        <w:t>S</w:t>
      </w:r>
      <w:r w:rsidRPr="00EC7459">
        <w:rPr>
          <w:bCs/>
          <w:color w:val="112645"/>
        </w:rPr>
        <w:t xml:space="preserve">ocial </w:t>
      </w:r>
      <w:r w:rsidRPr="00EC7459">
        <w:rPr>
          <w:bCs/>
          <w:i/>
          <w:iCs/>
          <w:color w:val="112645"/>
        </w:rPr>
        <w:t>P</w:t>
      </w:r>
      <w:r w:rsidRPr="00EC7459">
        <w:rPr>
          <w:bCs/>
          <w:color w:val="112645"/>
        </w:rPr>
        <w:t xml:space="preserve">recision-medicine </w:t>
      </w:r>
      <w:r w:rsidRPr="00EC7459">
        <w:rPr>
          <w:bCs/>
          <w:i/>
          <w:iCs/>
          <w:color w:val="112645"/>
        </w:rPr>
        <w:t>H</w:t>
      </w:r>
      <w:r w:rsidRPr="00EC7459">
        <w:rPr>
          <w:bCs/>
          <w:color w:val="112645"/>
        </w:rPr>
        <w:t xml:space="preserve">ealth </w:t>
      </w:r>
      <w:r w:rsidRPr="00EC7459">
        <w:rPr>
          <w:bCs/>
          <w:i/>
          <w:iCs/>
          <w:color w:val="112645"/>
        </w:rPr>
        <w:t>E</w:t>
      </w:r>
      <w:r w:rsidRPr="00EC7459">
        <w:rPr>
          <w:bCs/>
          <w:color w:val="112645"/>
        </w:rPr>
        <w:t xml:space="preserve">quity </w:t>
      </w:r>
      <w:r w:rsidRPr="00EC7459">
        <w:rPr>
          <w:bCs/>
          <w:i/>
          <w:iCs/>
          <w:color w:val="112645"/>
        </w:rPr>
        <w:t>R</w:t>
      </w:r>
      <w:r w:rsidRPr="00EC7459">
        <w:rPr>
          <w:bCs/>
          <w:color w:val="112645"/>
        </w:rPr>
        <w:t xml:space="preserve">esearch </w:t>
      </w:r>
      <w:r w:rsidRPr="00EC7459">
        <w:rPr>
          <w:bCs/>
          <w:i/>
          <w:iCs/>
          <w:color w:val="112645"/>
        </w:rPr>
        <w:t>E</w:t>
      </w:r>
      <w:r w:rsidRPr="00EC7459">
        <w:rPr>
          <w:bCs/>
          <w:color w:val="112645"/>
        </w:rPr>
        <w:t xml:space="preserve">ndeavour – is a transdisciplinary research and implementation effort. We combine biological, natural, medical, humanities and social science to reduce health inequities related to diabetes in the Galilee, Israel’s northern peripheral region. Residents in the Galilee have higher morbidity and mortality rates from diabetes than the national average. </w:t>
      </w:r>
    </w:p>
    <w:p w14:paraId="648B6E59" w14:textId="77777777" w:rsidR="00EC7459" w:rsidRPr="00EC7459" w:rsidRDefault="00EC7459" w:rsidP="00EC7459">
      <w:pPr>
        <w:rPr>
          <w:bCs/>
          <w:color w:val="112645"/>
        </w:rPr>
      </w:pPr>
      <w:r w:rsidRPr="00EC7459">
        <w:rPr>
          <w:bCs/>
          <w:color w:val="112645"/>
        </w:rPr>
        <w:t xml:space="preserve">The goals of SPHERE are to </w:t>
      </w:r>
    </w:p>
    <w:p w14:paraId="5415336F" w14:textId="77777777" w:rsidR="00EC7459" w:rsidRPr="00EC7459" w:rsidRDefault="00EC7459" w:rsidP="00EC7459">
      <w:pPr>
        <w:numPr>
          <w:ilvl w:val="0"/>
          <w:numId w:val="3"/>
        </w:numPr>
        <w:rPr>
          <w:bCs/>
          <w:color w:val="112645"/>
        </w:rPr>
      </w:pPr>
      <w:r w:rsidRPr="00EC7459">
        <w:rPr>
          <w:bCs/>
          <w:color w:val="112645"/>
        </w:rPr>
        <w:t xml:space="preserve">(1) reduce existing diabetes disparities between the Galilee population and the general Israeli population, </w:t>
      </w:r>
    </w:p>
    <w:p w14:paraId="4C6300C4" w14:textId="77777777" w:rsidR="00EC7459" w:rsidRPr="00EC7459" w:rsidRDefault="00EC7459" w:rsidP="00EC7459">
      <w:pPr>
        <w:numPr>
          <w:ilvl w:val="0"/>
          <w:numId w:val="3"/>
        </w:numPr>
        <w:rPr>
          <w:bCs/>
          <w:color w:val="112645"/>
        </w:rPr>
      </w:pPr>
      <w:r w:rsidRPr="00EC7459">
        <w:rPr>
          <w:bCs/>
          <w:color w:val="112645"/>
        </w:rPr>
        <w:t xml:space="preserve">(2) develop new models, paradigms, scientific and health </w:t>
      </w:r>
      <w:proofErr w:type="gramStart"/>
      <w:r w:rsidRPr="00EC7459">
        <w:rPr>
          <w:bCs/>
          <w:color w:val="112645"/>
        </w:rPr>
        <w:t>discoveries</w:t>
      </w:r>
      <w:proofErr w:type="gramEnd"/>
      <w:r w:rsidRPr="00EC7459">
        <w:rPr>
          <w:bCs/>
          <w:color w:val="112645"/>
        </w:rPr>
        <w:t xml:space="preserve"> and best practices for diabetes care that are applicable to social-geographic peripheries worldwide.</w:t>
      </w:r>
    </w:p>
    <w:p w14:paraId="0D213812" w14:textId="77777777" w:rsidR="00EC7459" w:rsidRPr="00EC7459" w:rsidRDefault="00EC7459" w:rsidP="00EC7459">
      <w:pPr>
        <w:rPr>
          <w:bCs/>
          <w:color w:val="112645"/>
        </w:rPr>
      </w:pPr>
      <w:r w:rsidRPr="00EC7459">
        <w:rPr>
          <w:bCs/>
          <w:color w:val="112645"/>
        </w:rPr>
        <w:t>SPHERE is a collaborative effort by Bar Ilan University, Israel’s leading Health Maintenance Organizations (HMOs) (</w:t>
      </w:r>
      <w:proofErr w:type="spellStart"/>
      <w:r w:rsidRPr="00EC7459">
        <w:rPr>
          <w:bCs/>
          <w:color w:val="112645"/>
        </w:rPr>
        <w:t>Clalit</w:t>
      </w:r>
      <w:proofErr w:type="spellEnd"/>
      <w:r w:rsidRPr="00EC7459">
        <w:rPr>
          <w:bCs/>
          <w:color w:val="112645"/>
        </w:rPr>
        <w:t xml:space="preserve"> Health Services and Maccabi Health Care), the regional hospitals (</w:t>
      </w:r>
      <w:proofErr w:type="gramStart"/>
      <w:r w:rsidRPr="00EC7459">
        <w:rPr>
          <w:bCs/>
          <w:color w:val="112645"/>
        </w:rPr>
        <w:t>e.g.</w:t>
      </w:r>
      <w:proofErr w:type="gramEnd"/>
      <w:r w:rsidRPr="00EC7459">
        <w:rPr>
          <w:bCs/>
          <w:color w:val="112645"/>
        </w:rPr>
        <w:t xml:space="preserve"> in Tiberias, Nazareth and Safed), local community and religious leadership, and a variety of other partners including the national government and industry. </w:t>
      </w:r>
    </w:p>
    <w:p w14:paraId="4E70CE59" w14:textId="77777777" w:rsidR="00EC7459" w:rsidRPr="00EC7459" w:rsidRDefault="00EC7459" w:rsidP="00EC7459">
      <w:pPr>
        <w:rPr>
          <w:bCs/>
          <w:color w:val="112645"/>
        </w:rPr>
      </w:pPr>
      <w:r w:rsidRPr="00EC7459">
        <w:rPr>
          <w:bCs/>
          <w:color w:val="112645"/>
        </w:rPr>
        <w:t xml:space="preserve"> The integrated SPHERE program is piloted in 5 cities: Safed, Nazareth, </w:t>
      </w:r>
      <w:proofErr w:type="spellStart"/>
      <w:r w:rsidRPr="00EC7459">
        <w:rPr>
          <w:bCs/>
          <w:color w:val="112645"/>
        </w:rPr>
        <w:t>Nof</w:t>
      </w:r>
      <w:proofErr w:type="spellEnd"/>
      <w:r w:rsidRPr="00EC7459">
        <w:rPr>
          <w:bCs/>
          <w:color w:val="112645"/>
        </w:rPr>
        <w:t xml:space="preserve"> </w:t>
      </w:r>
      <w:proofErr w:type="spellStart"/>
      <w:r w:rsidRPr="00EC7459">
        <w:rPr>
          <w:bCs/>
          <w:color w:val="112645"/>
        </w:rPr>
        <w:t>HaGalil</w:t>
      </w:r>
      <w:proofErr w:type="spellEnd"/>
      <w:r w:rsidRPr="00EC7459">
        <w:rPr>
          <w:bCs/>
          <w:color w:val="112645"/>
        </w:rPr>
        <w:t xml:space="preserve">, </w:t>
      </w:r>
      <w:proofErr w:type="spellStart"/>
      <w:r w:rsidRPr="00EC7459">
        <w:rPr>
          <w:bCs/>
          <w:color w:val="112645"/>
        </w:rPr>
        <w:t>SaKhnin</w:t>
      </w:r>
      <w:proofErr w:type="spellEnd"/>
      <w:r w:rsidRPr="00EC7459">
        <w:rPr>
          <w:bCs/>
          <w:color w:val="112645"/>
        </w:rPr>
        <w:t xml:space="preserve"> and </w:t>
      </w:r>
      <w:proofErr w:type="spellStart"/>
      <w:r w:rsidRPr="00EC7459">
        <w:rPr>
          <w:bCs/>
          <w:color w:val="112645"/>
        </w:rPr>
        <w:t>Shfar’am</w:t>
      </w:r>
      <w:proofErr w:type="spellEnd"/>
      <w:r w:rsidRPr="00EC7459">
        <w:rPr>
          <w:bCs/>
          <w:color w:val="112645"/>
        </w:rPr>
        <w:t xml:space="preserve">. These cities enable SPHERE to work with the general population as well as diverse minority populations including ultra-orthodox Jews, Muslim Arabs, Christian Arabs, Druze, and immigrants from the former Soviet-Union. </w:t>
      </w:r>
    </w:p>
    <w:p w14:paraId="58A914EE" w14:textId="77777777" w:rsidR="00EC7459" w:rsidRPr="00EC7459" w:rsidRDefault="00EC7459" w:rsidP="00EC7459">
      <w:pPr>
        <w:rPr>
          <w:bCs/>
          <w:color w:val="112645"/>
        </w:rPr>
      </w:pPr>
      <w:r w:rsidRPr="00EC7459">
        <w:rPr>
          <w:bCs/>
          <w:color w:val="112645"/>
        </w:rPr>
        <w:t xml:space="preserve">SPHERE’s integrated scientific program implements interventions throughout the diabetes disease pathway: </w:t>
      </w:r>
    </w:p>
    <w:p w14:paraId="6994DE2D" w14:textId="77777777" w:rsidR="00EC7459" w:rsidRPr="00EC7459" w:rsidRDefault="00EC7459" w:rsidP="00EC7459">
      <w:pPr>
        <w:numPr>
          <w:ilvl w:val="0"/>
          <w:numId w:val="3"/>
        </w:numPr>
        <w:rPr>
          <w:bCs/>
          <w:color w:val="112645"/>
        </w:rPr>
      </w:pPr>
      <w:r w:rsidRPr="00EC7459">
        <w:rPr>
          <w:bCs/>
          <w:color w:val="112645"/>
        </w:rPr>
        <w:t xml:space="preserve">Prevent - Developing new and sustainable strategies to prevent population groups from becoming </w:t>
      </w:r>
      <w:proofErr w:type="gramStart"/>
      <w:r w:rsidRPr="00EC7459">
        <w:rPr>
          <w:bCs/>
          <w:color w:val="112645"/>
        </w:rPr>
        <w:t>diabetic</w:t>
      </w:r>
      <w:proofErr w:type="gramEnd"/>
      <w:r w:rsidRPr="00EC7459">
        <w:rPr>
          <w:bCs/>
          <w:color w:val="112645"/>
        </w:rPr>
        <w:t xml:space="preserve"> </w:t>
      </w:r>
    </w:p>
    <w:p w14:paraId="0F1C5DE2" w14:textId="77777777" w:rsidR="00EC7459" w:rsidRPr="00EC7459" w:rsidRDefault="00EC7459" w:rsidP="00EC7459">
      <w:pPr>
        <w:numPr>
          <w:ilvl w:val="0"/>
          <w:numId w:val="3"/>
        </w:numPr>
        <w:rPr>
          <w:bCs/>
          <w:color w:val="112645"/>
        </w:rPr>
      </w:pPr>
      <w:r w:rsidRPr="00EC7459">
        <w:rPr>
          <w:bCs/>
          <w:color w:val="112645"/>
        </w:rPr>
        <w:t xml:space="preserve">Control - New strategies to improve clinical management and mitigate complications marrying precision medicine with the social determinants of </w:t>
      </w:r>
      <w:proofErr w:type="gramStart"/>
      <w:r w:rsidRPr="00EC7459">
        <w:rPr>
          <w:bCs/>
          <w:color w:val="112645"/>
        </w:rPr>
        <w:t>health</w:t>
      </w:r>
      <w:proofErr w:type="gramEnd"/>
      <w:r w:rsidRPr="00EC7459">
        <w:rPr>
          <w:bCs/>
          <w:color w:val="112645"/>
        </w:rPr>
        <w:t xml:space="preserve"> </w:t>
      </w:r>
    </w:p>
    <w:p w14:paraId="4E4A7267" w14:textId="77777777" w:rsidR="00EC7459" w:rsidRPr="00EC7459" w:rsidRDefault="00EC7459" w:rsidP="00EC7459">
      <w:pPr>
        <w:numPr>
          <w:ilvl w:val="0"/>
          <w:numId w:val="3"/>
        </w:numPr>
        <w:rPr>
          <w:bCs/>
          <w:color w:val="112645"/>
        </w:rPr>
      </w:pPr>
      <w:r w:rsidRPr="00EC7459">
        <w:rPr>
          <w:bCs/>
          <w:color w:val="112645"/>
        </w:rPr>
        <w:t xml:space="preserve">Care - Developing an </w:t>
      </w:r>
      <w:r w:rsidRPr="00EC7459">
        <w:rPr>
          <w:bCs/>
          <w:i/>
          <w:iCs/>
          <w:color w:val="112645"/>
        </w:rPr>
        <w:t>Integrated Care Model</w:t>
      </w:r>
      <w:r w:rsidRPr="00EC7459">
        <w:rPr>
          <w:bCs/>
          <w:color w:val="112645"/>
        </w:rPr>
        <w:t xml:space="preserve">, which aligns and integrates, care systems, and the community to proactively address and improve best practice diabetes </w:t>
      </w:r>
      <w:proofErr w:type="gramStart"/>
      <w:r w:rsidRPr="00EC7459">
        <w:rPr>
          <w:bCs/>
          <w:color w:val="112645"/>
        </w:rPr>
        <w:t>care</w:t>
      </w:r>
      <w:proofErr w:type="gramEnd"/>
    </w:p>
    <w:p w14:paraId="1913C851" w14:textId="77777777" w:rsidR="00EC7459" w:rsidRPr="00EC7459" w:rsidRDefault="00EC7459" w:rsidP="00EC7459">
      <w:pPr>
        <w:numPr>
          <w:ilvl w:val="0"/>
          <w:numId w:val="3"/>
        </w:numPr>
        <w:rPr>
          <w:bCs/>
          <w:color w:val="112645"/>
        </w:rPr>
      </w:pPr>
      <w:r w:rsidRPr="00EC7459">
        <w:rPr>
          <w:bCs/>
          <w:color w:val="112645"/>
        </w:rPr>
        <w:lastRenderedPageBreak/>
        <w:t xml:space="preserve">Cure - Basic and clinical science, which highly leverage specialized Galilee, community and Faculty opportunities and strengths, currently proposing to focus on Genetics, Microbiome, and ​Islet </w:t>
      </w:r>
      <w:proofErr w:type="gramStart"/>
      <w:r w:rsidRPr="00EC7459">
        <w:rPr>
          <w:bCs/>
          <w:color w:val="112645"/>
        </w:rPr>
        <w:t>biology</w:t>
      </w:r>
      <w:proofErr w:type="gramEnd"/>
      <w:r w:rsidRPr="00EC7459">
        <w:rPr>
          <w:bCs/>
          <w:color w:val="112645"/>
        </w:rPr>
        <w:t xml:space="preserve"> </w:t>
      </w:r>
    </w:p>
    <w:p w14:paraId="26F8784F" w14:textId="77777777" w:rsidR="00EC7459" w:rsidRPr="00EC7459" w:rsidRDefault="00EC7459" w:rsidP="00EC7459">
      <w:pPr>
        <w:rPr>
          <w:bCs/>
          <w:color w:val="112645"/>
        </w:rPr>
      </w:pPr>
      <w:r w:rsidRPr="00EC7459">
        <w:rPr>
          <w:bCs/>
          <w:color w:val="112645"/>
        </w:rPr>
        <w:t xml:space="preserve">SPHERE furthermore includes two cross-cutting arms: </w:t>
      </w:r>
    </w:p>
    <w:p w14:paraId="252C40F9" w14:textId="77777777" w:rsidR="00EC7459" w:rsidRPr="00EC7459" w:rsidRDefault="00EC7459" w:rsidP="00EC7459">
      <w:pPr>
        <w:numPr>
          <w:ilvl w:val="0"/>
          <w:numId w:val="3"/>
        </w:numPr>
        <w:rPr>
          <w:bCs/>
          <w:color w:val="112645"/>
        </w:rPr>
      </w:pPr>
      <w:r w:rsidRPr="00EC7459">
        <w:rPr>
          <w:bCs/>
          <w:color w:val="112645"/>
        </w:rPr>
        <w:t xml:space="preserve">Education Center - provides professional education and research support programs to primary care and family physicians, municipal leaders and other </w:t>
      </w:r>
      <w:proofErr w:type="gramStart"/>
      <w:r w:rsidRPr="00EC7459">
        <w:rPr>
          <w:bCs/>
          <w:color w:val="112645"/>
        </w:rPr>
        <w:t>professionals</w:t>
      </w:r>
      <w:proofErr w:type="gramEnd"/>
      <w:r w:rsidRPr="00EC7459">
        <w:rPr>
          <w:bCs/>
          <w:color w:val="112645"/>
        </w:rPr>
        <w:t xml:space="preserve"> </w:t>
      </w:r>
    </w:p>
    <w:p w14:paraId="2DC554DE" w14:textId="77777777" w:rsidR="00EC7459" w:rsidRPr="00EC7459" w:rsidRDefault="00EC7459" w:rsidP="00EC7459">
      <w:pPr>
        <w:numPr>
          <w:ilvl w:val="0"/>
          <w:numId w:val="3"/>
        </w:numPr>
        <w:rPr>
          <w:bCs/>
          <w:color w:val="112645"/>
        </w:rPr>
      </w:pPr>
      <w:r w:rsidRPr="00EC7459">
        <w:rPr>
          <w:bCs/>
          <w:color w:val="112645"/>
        </w:rPr>
        <w:t xml:space="preserve">Implementation and Integration center –provides economic evidence on the effectiveness and cost-savings of new interventions implemented, ensuring that the SPHERE executes research that could be implemented at scale. This center also uses implementation science to develop appropriate implementation strategies for diverse </w:t>
      </w:r>
      <w:proofErr w:type="gramStart"/>
      <w:r w:rsidRPr="00EC7459">
        <w:rPr>
          <w:bCs/>
          <w:color w:val="112645"/>
        </w:rPr>
        <w:t>contexts</w:t>
      </w:r>
      <w:proofErr w:type="gramEnd"/>
    </w:p>
    <w:p w14:paraId="7D3B07A0" w14:textId="77777777" w:rsidR="00EC7459" w:rsidRDefault="00EC7459" w:rsidP="00EC7459">
      <w:pPr>
        <w:rPr>
          <w:bCs/>
          <w:color w:val="112645"/>
        </w:rPr>
      </w:pPr>
    </w:p>
    <w:p w14:paraId="38CFDCAB" w14:textId="60FBF2CF" w:rsidR="00EC7459" w:rsidRPr="009B0321" w:rsidRDefault="00EC7459" w:rsidP="00EC7459">
      <w:pPr>
        <w:rPr>
          <w:b/>
          <w:color w:val="112645"/>
          <w:u w:val="single"/>
        </w:rPr>
      </w:pPr>
      <w:r w:rsidRPr="009B0321">
        <w:rPr>
          <w:b/>
          <w:color w:val="112645"/>
          <w:u w:val="single"/>
        </w:rPr>
        <w:t xml:space="preserve">Bar Ilan University </w:t>
      </w:r>
    </w:p>
    <w:p w14:paraId="0DEE54CD" w14:textId="0219F4C5" w:rsidR="00EC7459" w:rsidRPr="00EC7459" w:rsidRDefault="00EC7459" w:rsidP="00EC7459">
      <w:pPr>
        <w:rPr>
          <w:bCs/>
          <w:color w:val="112645"/>
        </w:rPr>
      </w:pPr>
      <w:r w:rsidRPr="00EC7459">
        <w:rPr>
          <w:bCs/>
          <w:color w:val="112645"/>
        </w:rPr>
        <w:t xml:space="preserve">Established in 1955, Bar Ilan University (BIU) is one of Israel's largest universities. BIU has achieved an international reputation for academic and research excellence, especially, but not limited to the fields of artificial intelligence, renewable energy, </w:t>
      </w:r>
      <w:proofErr w:type="gramStart"/>
      <w:r w:rsidRPr="00EC7459">
        <w:rPr>
          <w:bCs/>
          <w:color w:val="112645"/>
        </w:rPr>
        <w:t>bio-medicine</w:t>
      </w:r>
      <w:proofErr w:type="gramEnd"/>
      <w:r w:rsidRPr="00EC7459">
        <w:rPr>
          <w:bCs/>
          <w:color w:val="112645"/>
        </w:rPr>
        <w:t xml:space="preserve">, brain sciences, cancer, cyber security, cognitive sciences, environment, quantum technologies, medicine, archaeology, nanotechnology and advanced materials. </w:t>
      </w:r>
    </w:p>
    <w:p w14:paraId="7F87A297" w14:textId="0B37F07A" w:rsidR="00EC7459" w:rsidRPr="00EC7459" w:rsidRDefault="00EC7459" w:rsidP="00EC7459">
      <w:pPr>
        <w:rPr>
          <w:bCs/>
          <w:color w:val="112645"/>
        </w:rPr>
      </w:pPr>
      <w:r w:rsidRPr="00EC7459">
        <w:rPr>
          <w:bCs/>
          <w:color w:val="112645"/>
        </w:rPr>
        <w:t xml:space="preserve">Building on our past and current successes in FP6, FP7, H2020 and ERC projects, BIU is committed to strengthening its research and innovation infrastructure and supporting multidisciplinary innovative research initiatives with its 55 research centers and 60 endowed </w:t>
      </w:r>
      <w:proofErr w:type="gramStart"/>
      <w:r w:rsidRPr="00EC7459">
        <w:rPr>
          <w:bCs/>
          <w:color w:val="112645"/>
        </w:rPr>
        <w:t>chairs</w:t>
      </w:r>
      <w:proofErr w:type="gramEnd"/>
    </w:p>
    <w:p w14:paraId="2B350AF3" w14:textId="77777777" w:rsidR="00B44BB6" w:rsidRPr="001C1423" w:rsidRDefault="00B44BB6">
      <w:pPr>
        <w:spacing w:after="0" w:line="240" w:lineRule="auto"/>
        <w:rPr>
          <w:color w:val="112645"/>
        </w:rPr>
      </w:pPr>
    </w:p>
    <w:p w14:paraId="2CF1C97F" w14:textId="5B9CDFAC" w:rsidR="00B44BB6" w:rsidRPr="001C1423" w:rsidRDefault="00D86D2E">
      <w:pPr>
        <w:pBdr>
          <w:top w:val="single" w:sz="4" w:space="1" w:color="000000"/>
          <w:left w:val="single" w:sz="4" w:space="4" w:color="000000"/>
          <w:bottom w:val="single" w:sz="4" w:space="1" w:color="000000"/>
          <w:right w:val="single" w:sz="4" w:space="4" w:color="000000"/>
        </w:pBdr>
        <w:spacing w:after="80"/>
        <w:rPr>
          <w:color w:val="112645"/>
        </w:rPr>
      </w:pPr>
      <w:sdt>
        <w:sdtPr>
          <w:rPr>
            <w:rFonts w:ascii="MS Gothic" w:eastAsia="MS Gothic" w:hAnsi="MS Gothic" w:cs="MS Gothic"/>
            <w:color w:val="112645"/>
          </w:rPr>
          <w:id w:val="-319265439"/>
          <w14:checkbox>
            <w14:checked w14:val="0"/>
            <w14:checkedState w14:val="2612" w14:font="MS Gothic"/>
            <w14:uncheckedState w14:val="2610" w14:font="MS Gothic"/>
          </w14:checkbox>
        </w:sdtPr>
        <w:sdtEndPr/>
        <w:sdtContent>
          <w:r w:rsidR="007D4B49" w:rsidRPr="001C1423">
            <w:rPr>
              <w:rFonts w:ascii="MS Gothic" w:eastAsia="MS Gothic" w:hAnsi="MS Gothic" w:cs="MS Gothic" w:hint="eastAsia"/>
              <w:color w:val="112645"/>
            </w:rPr>
            <w:t>☐</w:t>
          </w:r>
        </w:sdtContent>
      </w:sdt>
      <w:r w:rsidR="00C863B6" w:rsidRPr="001C1423">
        <w:rPr>
          <w:color w:val="112645"/>
        </w:rPr>
        <w:t xml:space="preserve"> Higher Education</w:t>
      </w:r>
      <w:r w:rsidR="00C863B6" w:rsidRPr="001C1423">
        <w:rPr>
          <w:color w:val="112645"/>
        </w:rPr>
        <w:tab/>
      </w:r>
      <w:r w:rsidR="00C863B6" w:rsidRPr="001C1423">
        <w:rPr>
          <w:color w:val="112645"/>
        </w:rPr>
        <w:tab/>
      </w:r>
      <w:sdt>
        <w:sdtPr>
          <w:rPr>
            <w:color w:val="112645"/>
          </w:rPr>
          <w:id w:val="-2046670379"/>
          <w14:checkbox>
            <w14:checked w14:val="1"/>
            <w14:checkedState w14:val="2612" w14:font="MS Gothic"/>
            <w14:uncheckedState w14:val="2610" w14:font="MS Gothic"/>
          </w14:checkbox>
        </w:sdtPr>
        <w:sdtEndPr/>
        <w:sdtContent>
          <w:r w:rsidR="00F92F23">
            <w:rPr>
              <w:rFonts w:ascii="MS Gothic" w:eastAsia="MS Gothic" w:hAnsi="MS Gothic" w:hint="eastAsia"/>
              <w:color w:val="112645"/>
            </w:rPr>
            <w:t>☒</w:t>
          </w:r>
        </w:sdtContent>
      </w:sdt>
      <w:r w:rsidR="00C863B6" w:rsidRPr="001C1423">
        <w:rPr>
          <w:color w:val="112645"/>
        </w:rPr>
        <w:t xml:space="preserve"> Research Institution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779370479"/>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Public Administration</w:t>
      </w:r>
    </w:p>
    <w:p w14:paraId="52CBCFF9" w14:textId="77777777" w:rsidR="00B44BB6" w:rsidRPr="001C1423" w:rsidRDefault="00D86D2E">
      <w:pPr>
        <w:pBdr>
          <w:top w:val="single" w:sz="4" w:space="1" w:color="000000"/>
          <w:left w:val="single" w:sz="4" w:space="4" w:color="000000"/>
          <w:bottom w:val="single" w:sz="4" w:space="1" w:color="000000"/>
          <w:right w:val="single" w:sz="4" w:space="4" w:color="000000"/>
        </w:pBdr>
        <w:rPr>
          <w:color w:val="112645"/>
        </w:rPr>
      </w:pPr>
      <w:sdt>
        <w:sdtPr>
          <w:rPr>
            <w:rFonts w:ascii="MS Gothic" w:eastAsia="MS Gothic" w:hAnsi="MS Gothic" w:cs="MS Gothic"/>
            <w:color w:val="112645"/>
          </w:rPr>
          <w:id w:val="512490813"/>
          <w14:checkbox>
            <w14:checked w14:val="0"/>
            <w14:checkedState w14:val="2612" w14:font="MS Gothic"/>
            <w14:uncheckedState w14:val="2610" w14:font="MS Gothic"/>
          </w14:checkbox>
        </w:sdtPr>
        <w:sdtEndPr/>
        <w:sdtContent>
          <w:r w:rsidR="003824EC" w:rsidRPr="001C1423">
            <w:rPr>
              <w:rFonts w:ascii="MS Gothic" w:eastAsia="MS Gothic" w:hAnsi="MS Gothic" w:cs="MS Gothic" w:hint="eastAsia"/>
              <w:color w:val="112645"/>
            </w:rPr>
            <w:t>☐</w:t>
          </w:r>
        </w:sdtContent>
      </w:sdt>
      <w:r w:rsidR="00C863B6" w:rsidRPr="001C1423">
        <w:rPr>
          <w:color w:val="112645"/>
        </w:rPr>
        <w:t xml:space="preserve"> Industry /SME</w:t>
      </w:r>
      <w:r w:rsidR="00C863B6" w:rsidRPr="001C1423">
        <w:rPr>
          <w:color w:val="112645"/>
        </w:rPr>
        <w:tab/>
      </w:r>
      <w:r w:rsidR="00C863B6" w:rsidRPr="001C1423">
        <w:rPr>
          <w:color w:val="112645"/>
        </w:rPr>
        <w:tab/>
      </w:r>
      <w:sdt>
        <w:sdtPr>
          <w:rPr>
            <w:color w:val="112645"/>
          </w:rPr>
          <w:id w:val="-845934223"/>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NGO</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310748279"/>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Other</w:t>
      </w:r>
      <w:r w:rsidR="003824EC" w:rsidRPr="001C1423">
        <w:rPr>
          <w:color w:val="112645"/>
        </w:rPr>
        <w:t xml:space="preserve">: </w:t>
      </w:r>
      <w:r w:rsidR="003824EC" w:rsidRPr="001C1423">
        <w:rPr>
          <w:b/>
          <w:i/>
          <w:color w:val="112645"/>
        </w:rPr>
        <w:t xml:space="preserve">Please </w:t>
      </w:r>
      <w:proofErr w:type="gramStart"/>
      <w:r w:rsidR="003824EC" w:rsidRPr="001C1423">
        <w:rPr>
          <w:b/>
          <w:i/>
          <w:color w:val="112645"/>
        </w:rPr>
        <w:t>specify</w:t>
      </w:r>
      <w:proofErr w:type="gramEnd"/>
    </w:p>
    <w:p w14:paraId="6FF65E31" w14:textId="77777777" w:rsidR="00B44BB6" w:rsidRPr="001C1423" w:rsidRDefault="00B44BB6">
      <w:pPr>
        <w:rPr>
          <w:b/>
          <w:color w:val="112645"/>
          <w:u w:val="single"/>
        </w:rPr>
      </w:pPr>
    </w:p>
    <w:p w14:paraId="59887CBA" w14:textId="77777777" w:rsidR="00B44BB6" w:rsidRDefault="00C863B6">
      <w:pPr>
        <w:rPr>
          <w:b/>
          <w:color w:val="112645"/>
          <w:u w:val="single"/>
        </w:rPr>
      </w:pPr>
      <w:r w:rsidRPr="001C1423">
        <w:rPr>
          <w:b/>
          <w:color w:val="112645"/>
          <w:u w:val="single"/>
        </w:rPr>
        <w:t xml:space="preserve">Description of the </w:t>
      </w:r>
      <w:r w:rsidR="003824EC" w:rsidRPr="001C1423">
        <w:rPr>
          <w:b/>
          <w:color w:val="112645"/>
          <w:u w:val="single"/>
        </w:rPr>
        <w:t>(</w:t>
      </w:r>
      <w:r w:rsidRPr="001C1423">
        <w:rPr>
          <w:b/>
          <w:color w:val="112645"/>
          <w:u w:val="single"/>
        </w:rPr>
        <w:t>Research</w:t>
      </w:r>
      <w:r w:rsidR="003824EC" w:rsidRPr="001C1423">
        <w:rPr>
          <w:b/>
          <w:color w:val="112645"/>
          <w:u w:val="single"/>
        </w:rPr>
        <w:t>)</w:t>
      </w:r>
      <w:r w:rsidRPr="001C1423">
        <w:rPr>
          <w:b/>
          <w:color w:val="112645"/>
          <w:u w:val="single"/>
        </w:rPr>
        <w:t xml:space="preserve"> Team</w:t>
      </w:r>
    </w:p>
    <w:p w14:paraId="102263E5" w14:textId="77777777" w:rsidR="00EC7459" w:rsidRPr="00EC7459" w:rsidRDefault="00EC7459" w:rsidP="00EC7459">
      <w:pPr>
        <w:rPr>
          <w:color w:val="112645"/>
        </w:rPr>
      </w:pPr>
      <w:r w:rsidRPr="00EC7459">
        <w:rPr>
          <w:color w:val="112645"/>
        </w:rPr>
        <w:t xml:space="preserve">We provide a direct contribution to the Impact of the </w:t>
      </w:r>
      <w:proofErr w:type="gramStart"/>
      <w:r w:rsidRPr="00EC7459">
        <w:rPr>
          <w:color w:val="112645"/>
        </w:rPr>
        <w:t>call</w:t>
      </w:r>
      <w:proofErr w:type="gramEnd"/>
    </w:p>
    <w:p w14:paraId="125F0736" w14:textId="77777777" w:rsidR="00EC7459" w:rsidRPr="00EC7459" w:rsidRDefault="00EC7459" w:rsidP="00EC7459">
      <w:pPr>
        <w:numPr>
          <w:ilvl w:val="0"/>
          <w:numId w:val="3"/>
        </w:numPr>
        <w:rPr>
          <w:color w:val="112645"/>
        </w:rPr>
      </w:pPr>
      <w:r w:rsidRPr="00EC7459">
        <w:rPr>
          <w:color w:val="112645"/>
        </w:rPr>
        <w:t>We work with in-depth with Health care practitioners and providers in high-income countries (HICs) serving disadvantaged populations and ensure they have access to and use specific guidelines to implement health interventions that improve the availability of effective, equitable, efficient, integrated, patient-</w:t>
      </w:r>
      <w:proofErr w:type="spellStart"/>
      <w:r w:rsidRPr="00EC7459">
        <w:rPr>
          <w:color w:val="112645"/>
        </w:rPr>
        <w:t>centred</w:t>
      </w:r>
      <w:proofErr w:type="spellEnd"/>
      <w:r w:rsidRPr="00EC7459">
        <w:rPr>
          <w:color w:val="112645"/>
        </w:rPr>
        <w:t>, safe, and timely care and the overall quality of life for people living with non-communicable diseases (NCDs).</w:t>
      </w:r>
    </w:p>
    <w:p w14:paraId="62A44CE0" w14:textId="77777777" w:rsidR="00EC7459" w:rsidRPr="00EC7459" w:rsidRDefault="00EC7459" w:rsidP="00EC7459">
      <w:pPr>
        <w:numPr>
          <w:ilvl w:val="0"/>
          <w:numId w:val="3"/>
        </w:numPr>
        <w:rPr>
          <w:color w:val="112645"/>
        </w:rPr>
      </w:pPr>
      <w:r w:rsidRPr="00EC7459">
        <w:rPr>
          <w:color w:val="112645"/>
        </w:rPr>
        <w:t>We work intensively with public health managers and authorities on improved insights and evidence to design policies to reduce health inequities.</w:t>
      </w:r>
    </w:p>
    <w:p w14:paraId="5426184C" w14:textId="77777777" w:rsidR="00EC7459" w:rsidRPr="00EC7459" w:rsidRDefault="00EC7459" w:rsidP="00EC7459">
      <w:pPr>
        <w:numPr>
          <w:ilvl w:val="0"/>
          <w:numId w:val="3"/>
        </w:numPr>
        <w:rPr>
          <w:color w:val="112645"/>
        </w:rPr>
      </w:pPr>
      <w:r w:rsidRPr="00EC7459">
        <w:rPr>
          <w:color w:val="112645"/>
        </w:rPr>
        <w:t xml:space="preserve">Our work is based in implementation science through which we study interventions for management of NCDs through which researchers, clinicians and authorities have an improved understanding how the proposed interventions could be adopted, </w:t>
      </w:r>
      <w:proofErr w:type="gramStart"/>
      <w:r w:rsidRPr="00EC7459">
        <w:rPr>
          <w:color w:val="112645"/>
        </w:rPr>
        <w:t>taking into account</w:t>
      </w:r>
      <w:proofErr w:type="gramEnd"/>
      <w:r w:rsidRPr="00EC7459">
        <w:rPr>
          <w:color w:val="112645"/>
        </w:rPr>
        <w:t xml:space="preserve"> specific social, political, economic and cultural contexts.</w:t>
      </w:r>
    </w:p>
    <w:p w14:paraId="547EFD2A" w14:textId="77777777" w:rsidR="00EC7459" w:rsidRPr="00EC7459" w:rsidRDefault="00EC7459" w:rsidP="00EC7459">
      <w:pPr>
        <w:numPr>
          <w:ilvl w:val="0"/>
          <w:numId w:val="3"/>
        </w:numPr>
        <w:rPr>
          <w:color w:val="112645"/>
        </w:rPr>
      </w:pPr>
      <w:r w:rsidRPr="00EC7459">
        <w:rPr>
          <w:color w:val="112645"/>
        </w:rPr>
        <w:t>Our work is integrated with communities and local stakeholders and authorities are fully engaged in implementing and taking up interventions for NCDs and thus contribute to deliver better health.</w:t>
      </w:r>
    </w:p>
    <w:p w14:paraId="26C32121" w14:textId="77777777" w:rsidR="00EC7459" w:rsidRPr="00EC7459" w:rsidRDefault="00EC7459" w:rsidP="00EC7459">
      <w:pPr>
        <w:rPr>
          <w:color w:val="112645"/>
        </w:rPr>
      </w:pPr>
      <w:r w:rsidRPr="00EC7459">
        <w:rPr>
          <w:color w:val="112645"/>
        </w:rPr>
        <w:t>Practically we provide:</w:t>
      </w:r>
    </w:p>
    <w:p w14:paraId="26DAC5E8" w14:textId="77777777" w:rsidR="00EC7459" w:rsidRPr="00EC7459" w:rsidRDefault="00EC7459" w:rsidP="00EC7459">
      <w:pPr>
        <w:numPr>
          <w:ilvl w:val="0"/>
          <w:numId w:val="3"/>
        </w:numPr>
        <w:rPr>
          <w:color w:val="112645"/>
        </w:rPr>
      </w:pPr>
      <w:r w:rsidRPr="00EC7459">
        <w:rPr>
          <w:color w:val="112645"/>
        </w:rPr>
        <w:lastRenderedPageBreak/>
        <w:t>Implementation Science – Specialized implementation science expertise aimed at reducing health care inequities,</w:t>
      </w:r>
    </w:p>
    <w:p w14:paraId="31E723BB" w14:textId="77777777" w:rsidR="00EC7459" w:rsidRPr="00EC7459" w:rsidRDefault="00EC7459" w:rsidP="00EC7459">
      <w:pPr>
        <w:numPr>
          <w:ilvl w:val="0"/>
          <w:numId w:val="3"/>
        </w:numPr>
        <w:rPr>
          <w:color w:val="112645"/>
        </w:rPr>
      </w:pPr>
      <w:r w:rsidRPr="00EC7459">
        <w:rPr>
          <w:color w:val="112645"/>
        </w:rPr>
        <w:t xml:space="preserve">NCD focus - We provide specific obesity / diabetes / non-communicable disease use-cases in social and geographic peripheral settings involving all appropriate </w:t>
      </w:r>
      <w:proofErr w:type="gramStart"/>
      <w:r w:rsidRPr="00EC7459">
        <w:rPr>
          <w:color w:val="112645"/>
        </w:rPr>
        <w:t>stakeholders</w:t>
      </w:r>
      <w:proofErr w:type="gramEnd"/>
    </w:p>
    <w:p w14:paraId="0B529D98" w14:textId="77777777" w:rsidR="00EC7459" w:rsidRPr="00EC7459" w:rsidRDefault="00EC7459" w:rsidP="00EC7459">
      <w:pPr>
        <w:numPr>
          <w:ilvl w:val="0"/>
          <w:numId w:val="3"/>
        </w:numPr>
        <w:rPr>
          <w:color w:val="112645"/>
        </w:rPr>
      </w:pPr>
      <w:r w:rsidRPr="00EC7459">
        <w:rPr>
          <w:color w:val="112645"/>
        </w:rPr>
        <w:t xml:space="preserve">Access to stakeholders and the community – We provide extensive access to healthcare professionals including family physicians that work in the community. We also provide access to national policy makers, local government, NGOs, religious leadership, and others. </w:t>
      </w:r>
    </w:p>
    <w:p w14:paraId="7B748FD4" w14:textId="77777777" w:rsidR="00EC7459" w:rsidRPr="00EC7459" w:rsidRDefault="00EC7459" w:rsidP="00EC7459">
      <w:pPr>
        <w:numPr>
          <w:ilvl w:val="0"/>
          <w:numId w:val="3"/>
        </w:numPr>
        <w:rPr>
          <w:color w:val="112645"/>
        </w:rPr>
      </w:pPr>
      <w:r w:rsidRPr="00EC7459">
        <w:rPr>
          <w:color w:val="112645"/>
        </w:rPr>
        <w:t xml:space="preserve">Access to data – We provide access to </w:t>
      </w:r>
      <w:proofErr w:type="gramStart"/>
      <w:r w:rsidRPr="00EC7459">
        <w:rPr>
          <w:color w:val="112645"/>
        </w:rPr>
        <w:t>data</w:t>
      </w:r>
      <w:proofErr w:type="gramEnd"/>
    </w:p>
    <w:p w14:paraId="41BEC063" w14:textId="77777777" w:rsidR="00EC7459" w:rsidRPr="00EC7459" w:rsidRDefault="00EC7459" w:rsidP="00EC7459">
      <w:pPr>
        <w:numPr>
          <w:ilvl w:val="0"/>
          <w:numId w:val="3"/>
        </w:numPr>
        <w:rPr>
          <w:color w:val="112645"/>
        </w:rPr>
      </w:pPr>
      <w:r w:rsidRPr="00EC7459">
        <w:rPr>
          <w:color w:val="112645"/>
        </w:rPr>
        <w:t xml:space="preserve">Research &amp; education – We have research roadmaps on health equity, NCD prevention, disease control, care systems including economics and implementation science. We also provide education to health professional and other </w:t>
      </w:r>
      <w:proofErr w:type="gramStart"/>
      <w:r w:rsidRPr="00EC7459">
        <w:rPr>
          <w:color w:val="112645"/>
        </w:rPr>
        <w:t>stakeholders</w:t>
      </w:r>
      <w:proofErr w:type="gramEnd"/>
    </w:p>
    <w:p w14:paraId="749D6503" w14:textId="77777777" w:rsidR="00EC7459" w:rsidRPr="00322058" w:rsidRDefault="00EC7459">
      <w:pPr>
        <w:rPr>
          <w:b/>
          <w:color w:val="112645"/>
          <w:u w:val="single"/>
          <w:lang w:val="en-IL"/>
        </w:rPr>
      </w:pPr>
    </w:p>
    <w:p w14:paraId="74A3D71A" w14:textId="56391B98" w:rsidR="00B44BB6" w:rsidRPr="001C1423" w:rsidRDefault="00D86D2E">
      <w:pPr>
        <w:rPr>
          <w:color w:val="112645"/>
        </w:rPr>
      </w:pPr>
      <w:sdt>
        <w:sdtPr>
          <w:rPr>
            <w:rFonts w:ascii="MS Gothic" w:eastAsia="MS Gothic" w:hAnsi="MS Gothic" w:cs="MS Gothic"/>
            <w:color w:val="112645"/>
          </w:rPr>
          <w:id w:val="484047084"/>
          <w14:checkbox>
            <w14:checked w14:val="1"/>
            <w14:checkedState w14:val="2612" w14:font="MS Gothic"/>
            <w14:uncheckedState w14:val="2610" w14:font="MS Gothic"/>
          </w14:checkbox>
        </w:sdtPr>
        <w:sdtEndPr/>
        <w:sdtContent>
          <w:r w:rsidR="00F92F23">
            <w:rPr>
              <w:rFonts w:ascii="MS Gothic" w:eastAsia="MS Gothic" w:hAnsi="MS Gothic" w:cs="MS Gothic" w:hint="eastAsia"/>
              <w:color w:val="112645"/>
            </w:rPr>
            <w:t>☒</w:t>
          </w:r>
        </w:sdtContent>
      </w:sdt>
      <w:r w:rsidR="00C863B6" w:rsidRPr="001C1423">
        <w:rPr>
          <w:color w:val="112645"/>
        </w:rPr>
        <w:t xml:space="preserve"> Research</w:t>
      </w:r>
      <w:r w:rsidR="003824EC" w:rsidRPr="001C1423">
        <w:rPr>
          <w:color w:val="112645"/>
        </w:rPr>
        <w:t xml:space="preserve"> </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659102076"/>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Training</w:t>
      </w:r>
    </w:p>
    <w:p w14:paraId="4C7FF269" w14:textId="77777777" w:rsidR="00B44BB6" w:rsidRDefault="00D86D2E">
      <w:pPr>
        <w:rPr>
          <w:b/>
          <w:i/>
          <w:color w:val="112645"/>
        </w:rPr>
      </w:pPr>
      <w:sdt>
        <w:sdtPr>
          <w:rPr>
            <w:rFonts w:ascii="MS Gothic" w:eastAsia="MS Gothic" w:hAnsi="MS Gothic" w:cs="MS Gothic"/>
            <w:color w:val="112645"/>
          </w:rPr>
          <w:id w:val="-604188763"/>
          <w14:checkbox>
            <w14:checked w14:val="0"/>
            <w14:checkedState w14:val="2612" w14:font="MS Gothic"/>
            <w14:uncheckedState w14:val="2610" w14:font="MS Gothic"/>
          </w14:checkbox>
        </w:sdtPr>
        <w:sdtEndPr/>
        <w:sdtContent>
          <w:r w:rsidR="003824EC" w:rsidRPr="001C1423">
            <w:rPr>
              <w:rFonts w:ascii="MS Gothic" w:eastAsia="MS Gothic" w:hAnsi="MS Gothic" w:cs="MS Gothic" w:hint="eastAsia"/>
              <w:color w:val="112645"/>
            </w:rPr>
            <w:t>☐</w:t>
          </w:r>
        </w:sdtContent>
      </w:sdt>
      <w:r w:rsidR="00C863B6" w:rsidRPr="001C1423">
        <w:rPr>
          <w:color w:val="112645"/>
        </w:rPr>
        <w:t xml:space="preserve"> Dissemination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970744788"/>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 xml:space="preserve">Other: </w:t>
      </w:r>
      <w:r w:rsidR="003824EC" w:rsidRPr="001C1423">
        <w:rPr>
          <w:b/>
          <w:i/>
          <w:color w:val="112645"/>
        </w:rPr>
        <w:t xml:space="preserve">Please </w:t>
      </w:r>
      <w:proofErr w:type="gramStart"/>
      <w:r w:rsidR="003824EC" w:rsidRPr="001C1423">
        <w:rPr>
          <w:b/>
          <w:i/>
          <w:color w:val="112645"/>
        </w:rPr>
        <w:t>specify</w:t>
      </w:r>
      <w:proofErr w:type="gramEnd"/>
    </w:p>
    <w:p w14:paraId="68674DE6" w14:textId="77777777" w:rsidR="00863568" w:rsidRPr="001C1423" w:rsidRDefault="00863568">
      <w:pPr>
        <w:rPr>
          <w:color w:val="112645"/>
        </w:rPr>
      </w:pPr>
    </w:p>
    <w:p w14:paraId="63838A9F" w14:textId="77777777" w:rsidR="00B44BB6" w:rsidRPr="001C1423" w:rsidRDefault="00B44BB6">
      <w:pPr>
        <w:rPr>
          <w:color w:val="112645"/>
        </w:rPr>
      </w:pPr>
    </w:p>
    <w:p w14:paraId="4869E5DB" w14:textId="6C3C4329"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 xml:space="preserve">Already experience as a </w:t>
      </w:r>
      <w:r w:rsidRPr="001C1423">
        <w:rPr>
          <w:color w:val="112645"/>
        </w:rPr>
        <w:tab/>
        <w:t>Coordinator</w:t>
      </w:r>
      <w:r w:rsidRPr="001C1423">
        <w:rPr>
          <w:color w:val="112645"/>
        </w:rPr>
        <w:tab/>
      </w:r>
      <w:r w:rsidRPr="001C1423">
        <w:rPr>
          <w:color w:val="112645"/>
        </w:rPr>
        <w:tab/>
      </w:r>
      <w:sdt>
        <w:sdtPr>
          <w:rPr>
            <w:color w:val="112645"/>
          </w:rPr>
          <w:id w:val="998320105"/>
          <w14:checkbox>
            <w14:checked w14:val="0"/>
            <w14:checkedState w14:val="2612" w14:font="MS Gothic"/>
            <w14:uncheckedState w14:val="2610" w14:font="MS Gothic"/>
          </w14:checkbox>
        </w:sdtPr>
        <w:sdtEnd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469774229"/>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Pr="001C1423">
        <w:rPr>
          <w:color w:val="112645"/>
        </w:rPr>
        <w:t xml:space="preserve"> NO</w:t>
      </w:r>
    </w:p>
    <w:p w14:paraId="21A3D236" w14:textId="45C2120C"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Partner</w:t>
      </w:r>
      <w:r w:rsidRPr="001C1423">
        <w:rPr>
          <w:color w:val="112645"/>
        </w:rPr>
        <w:tab/>
      </w:r>
      <w:r w:rsidRPr="001C1423">
        <w:rPr>
          <w:color w:val="112645"/>
        </w:rPr>
        <w:tab/>
      </w:r>
      <w:r w:rsidRPr="001C1423">
        <w:rPr>
          <w:color w:val="112645"/>
        </w:rPr>
        <w:tab/>
      </w:r>
      <w:sdt>
        <w:sdtPr>
          <w:rPr>
            <w:color w:val="112645"/>
          </w:rPr>
          <w:id w:val="731112230"/>
          <w14:checkbox>
            <w14:checked w14:val="1"/>
            <w14:checkedState w14:val="2612" w14:font="MS Gothic"/>
            <w14:uncheckedState w14:val="2610" w14:font="MS Gothic"/>
          </w14:checkbox>
        </w:sdtPr>
        <w:sdtEndPr/>
        <w:sdtContent>
          <w:r w:rsidR="00F92F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057440001"/>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Pr="001C1423">
        <w:rPr>
          <w:color w:val="112645"/>
        </w:rPr>
        <w:t xml:space="preserve"> NO</w:t>
      </w:r>
    </w:p>
    <w:p w14:paraId="24C41851" w14:textId="08B20E5D"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Expert Evaluator</w:t>
      </w:r>
      <w:r w:rsidRPr="001C1423">
        <w:rPr>
          <w:color w:val="112645"/>
        </w:rPr>
        <w:tab/>
      </w:r>
      <w:sdt>
        <w:sdtPr>
          <w:rPr>
            <w:color w:val="112645"/>
          </w:rPr>
          <w:id w:val="-1944678657"/>
          <w14:checkbox>
            <w14:checked w14:val="0"/>
            <w14:checkedState w14:val="2612" w14:font="MS Gothic"/>
            <w14:uncheckedState w14:val="2610" w14:font="MS Gothic"/>
          </w14:checkbox>
        </w:sdtPr>
        <w:sdtEnd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956456974"/>
          <w14:checkbox>
            <w14:checked w14:val="0"/>
            <w14:checkedState w14:val="2612" w14:font="MS Gothic"/>
            <w14:uncheckedState w14:val="2610" w14:font="MS Gothic"/>
          </w14:checkbox>
        </w:sdtPr>
        <w:sdtEndPr/>
        <w:sdtContent>
          <w:r w:rsidR="003824EC" w:rsidRPr="001C1423">
            <w:rPr>
              <w:rFonts w:ascii="MS Gothic" w:eastAsia="MS Gothic" w:hAnsi="MS Gothic" w:hint="eastAsia"/>
              <w:color w:val="112645"/>
            </w:rPr>
            <w:t>☐</w:t>
          </w:r>
        </w:sdtContent>
      </w:sdt>
      <w:r w:rsidRPr="001C1423">
        <w:rPr>
          <w:color w:val="112645"/>
        </w:rPr>
        <w:t xml:space="preserve"> NO</w:t>
      </w:r>
    </w:p>
    <w:p w14:paraId="14EA5C29" w14:textId="77777777" w:rsidR="00270684" w:rsidRPr="001C1423" w:rsidRDefault="00270684">
      <w:pPr>
        <w:rPr>
          <w:b/>
          <w:color w:val="112645"/>
        </w:rPr>
      </w:pPr>
    </w:p>
    <w:p w14:paraId="7DDE5932" w14:textId="77777777" w:rsidR="00270684" w:rsidRPr="001C1423" w:rsidRDefault="00270684">
      <w:pPr>
        <w:rPr>
          <w:b/>
          <w:color w:val="112645"/>
        </w:rPr>
      </w:pPr>
    </w:p>
    <w:p w14:paraId="5610DE3B" w14:textId="77777777" w:rsidR="00B44BB6" w:rsidRPr="001C1423" w:rsidRDefault="00C863B6" w:rsidP="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CONTACT DETAILS</w:t>
      </w:r>
    </w:p>
    <w:p w14:paraId="602A5C11" w14:textId="77777777" w:rsidR="00B44BB6" w:rsidRPr="001C1423" w:rsidRDefault="00B44BB6">
      <w:pPr>
        <w:rPr>
          <w:color w:val="112645"/>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C1423" w:rsidRPr="001C1423" w14:paraId="265639D7" w14:textId="77777777">
        <w:trPr>
          <w:trHeight w:val="340"/>
        </w:trPr>
        <w:tc>
          <w:tcPr>
            <w:tcW w:w="9628" w:type="dxa"/>
            <w:vAlign w:val="center"/>
          </w:tcPr>
          <w:p w14:paraId="541AE1D3" w14:textId="55262D62" w:rsidR="00B44BB6" w:rsidRPr="001C1423" w:rsidRDefault="00C863B6">
            <w:pPr>
              <w:rPr>
                <w:color w:val="112645"/>
              </w:rPr>
            </w:pPr>
            <w:r w:rsidRPr="001C1423">
              <w:rPr>
                <w:color w:val="112645"/>
              </w:rPr>
              <w:t xml:space="preserve">Contact Person: </w:t>
            </w:r>
            <w:r w:rsidR="00A45644">
              <w:rPr>
                <w:color w:val="112645"/>
              </w:rPr>
              <w:t>Martin Duifhuizen</w:t>
            </w:r>
          </w:p>
        </w:tc>
      </w:tr>
      <w:tr w:rsidR="001C1423" w:rsidRPr="001C1423" w14:paraId="6FF89076" w14:textId="77777777">
        <w:trPr>
          <w:trHeight w:val="340"/>
        </w:trPr>
        <w:tc>
          <w:tcPr>
            <w:tcW w:w="9628" w:type="dxa"/>
            <w:vAlign w:val="center"/>
          </w:tcPr>
          <w:p w14:paraId="54F5ACF2" w14:textId="4A0CE8F7" w:rsidR="00B44BB6" w:rsidRPr="00A45644" w:rsidRDefault="00C863B6" w:rsidP="00A45644">
            <w:pPr>
              <w:rPr>
                <w:b/>
                <w:bCs/>
                <w:color w:val="112645"/>
              </w:rPr>
            </w:pPr>
            <w:r w:rsidRPr="001C1423">
              <w:rPr>
                <w:color w:val="112645"/>
              </w:rPr>
              <w:t>Organiza</w:t>
            </w:r>
            <w:r w:rsidR="00A45644">
              <w:rPr>
                <w:color w:val="112645"/>
              </w:rPr>
              <w:t xml:space="preserve">tion: </w:t>
            </w:r>
            <w:r w:rsidR="00A13A74">
              <w:rPr>
                <w:color w:val="112645"/>
              </w:rPr>
              <w:t>Bar Ilan University</w:t>
            </w:r>
            <w:r w:rsidR="00A45644">
              <w:rPr>
                <w:color w:val="112645"/>
              </w:rPr>
              <w:t xml:space="preserve">, </w:t>
            </w:r>
            <w:r w:rsidR="00A45644" w:rsidRPr="00A45644">
              <w:rPr>
                <w:b/>
                <w:bCs/>
                <w:color w:val="112645"/>
              </w:rPr>
              <w:t xml:space="preserve">The Russell </w:t>
            </w:r>
            <w:proofErr w:type="spellStart"/>
            <w:r w:rsidR="00A45644" w:rsidRPr="00A45644">
              <w:rPr>
                <w:b/>
                <w:bCs/>
                <w:color w:val="112645"/>
              </w:rPr>
              <w:t>Berrie</w:t>
            </w:r>
            <w:proofErr w:type="spellEnd"/>
            <w:r w:rsidR="00A45644" w:rsidRPr="00A45644">
              <w:rPr>
                <w:b/>
                <w:bCs/>
                <w:color w:val="112645"/>
              </w:rPr>
              <w:t xml:space="preserve"> Galilee Diabetes SPHERE</w:t>
            </w:r>
          </w:p>
        </w:tc>
      </w:tr>
      <w:tr w:rsidR="001C1423" w:rsidRPr="001C1423" w14:paraId="5B6C781E" w14:textId="77777777">
        <w:trPr>
          <w:trHeight w:val="340"/>
        </w:trPr>
        <w:tc>
          <w:tcPr>
            <w:tcW w:w="9628" w:type="dxa"/>
            <w:vAlign w:val="center"/>
          </w:tcPr>
          <w:p w14:paraId="2DCAE2D3" w14:textId="279CF295" w:rsidR="00B44BB6" w:rsidRPr="001C1423" w:rsidRDefault="00C863B6">
            <w:pPr>
              <w:rPr>
                <w:color w:val="112645"/>
              </w:rPr>
            </w:pPr>
            <w:r w:rsidRPr="001C1423">
              <w:rPr>
                <w:color w:val="112645"/>
              </w:rPr>
              <w:t xml:space="preserve">City: </w:t>
            </w:r>
            <w:r w:rsidR="00A45644">
              <w:rPr>
                <w:color w:val="112645"/>
              </w:rPr>
              <w:t>Safed</w:t>
            </w:r>
            <w:r w:rsidR="00A13A74">
              <w:rPr>
                <w:color w:val="112645"/>
              </w:rPr>
              <w:t xml:space="preserve"> </w:t>
            </w:r>
          </w:p>
        </w:tc>
      </w:tr>
      <w:tr w:rsidR="001C1423" w:rsidRPr="001C1423" w14:paraId="676AFE4A" w14:textId="77777777">
        <w:trPr>
          <w:trHeight w:val="340"/>
        </w:trPr>
        <w:tc>
          <w:tcPr>
            <w:tcW w:w="9628" w:type="dxa"/>
            <w:vAlign w:val="center"/>
          </w:tcPr>
          <w:p w14:paraId="6B48EAF7" w14:textId="3CDB42F8" w:rsidR="00B44BB6" w:rsidRPr="001C1423" w:rsidRDefault="00C863B6">
            <w:pPr>
              <w:rPr>
                <w:color w:val="112645"/>
              </w:rPr>
            </w:pPr>
            <w:r w:rsidRPr="001C1423">
              <w:rPr>
                <w:color w:val="112645"/>
              </w:rPr>
              <w:t xml:space="preserve">Country: </w:t>
            </w:r>
            <w:r w:rsidR="00A13A74">
              <w:rPr>
                <w:color w:val="112645"/>
              </w:rPr>
              <w:t>Israel</w:t>
            </w:r>
          </w:p>
        </w:tc>
      </w:tr>
      <w:tr w:rsidR="001C1423" w:rsidRPr="001C1423" w14:paraId="1AADD063" w14:textId="77777777">
        <w:trPr>
          <w:trHeight w:val="340"/>
        </w:trPr>
        <w:tc>
          <w:tcPr>
            <w:tcW w:w="9628" w:type="dxa"/>
            <w:vAlign w:val="center"/>
          </w:tcPr>
          <w:p w14:paraId="2DC2867A" w14:textId="26313F0B" w:rsidR="00B44BB6" w:rsidRPr="001C1423" w:rsidRDefault="00C863B6" w:rsidP="00A45644">
            <w:pPr>
              <w:rPr>
                <w:color w:val="112645"/>
              </w:rPr>
            </w:pPr>
            <w:r w:rsidRPr="001C1423">
              <w:rPr>
                <w:color w:val="112645"/>
              </w:rPr>
              <w:t xml:space="preserve">Email: </w:t>
            </w:r>
            <w:hyperlink r:id="rId8" w:history="1">
              <w:r w:rsidR="00A45644" w:rsidRPr="00A45644">
                <w:rPr>
                  <w:rStyle w:val="Hyperlink"/>
                  <w:b/>
                  <w:bCs/>
                </w:rPr>
                <w:t>martin.duifhuizen@biu.ac.il</w:t>
              </w:r>
            </w:hyperlink>
          </w:p>
        </w:tc>
      </w:tr>
      <w:tr w:rsidR="001C1423" w:rsidRPr="001C1423" w14:paraId="01657FBE" w14:textId="77777777">
        <w:trPr>
          <w:trHeight w:val="340"/>
        </w:trPr>
        <w:tc>
          <w:tcPr>
            <w:tcW w:w="9628" w:type="dxa"/>
            <w:vAlign w:val="center"/>
          </w:tcPr>
          <w:p w14:paraId="1920262E" w14:textId="0F72F4E9" w:rsidR="00B44BB6" w:rsidRPr="001C1423" w:rsidRDefault="00C863B6">
            <w:pPr>
              <w:rPr>
                <w:color w:val="112645"/>
              </w:rPr>
            </w:pPr>
            <w:r w:rsidRPr="001C1423">
              <w:rPr>
                <w:color w:val="112645"/>
              </w:rPr>
              <w:t>Organization Website:</w:t>
            </w:r>
            <w:r w:rsidR="00270684" w:rsidRPr="001C1423">
              <w:rPr>
                <w:color w:val="112645"/>
              </w:rPr>
              <w:t xml:space="preserve"> </w:t>
            </w:r>
            <w:r w:rsidR="00A13A74">
              <w:rPr>
                <w:color w:val="112645"/>
              </w:rPr>
              <w:t xml:space="preserve">www.biu.ac.il </w:t>
            </w:r>
          </w:p>
        </w:tc>
      </w:tr>
      <w:tr w:rsidR="00B44BB6" w:rsidRPr="001C1423" w14:paraId="5C7E4547" w14:textId="77777777">
        <w:trPr>
          <w:trHeight w:val="340"/>
        </w:trPr>
        <w:tc>
          <w:tcPr>
            <w:tcW w:w="9628" w:type="dxa"/>
            <w:vAlign w:val="center"/>
          </w:tcPr>
          <w:p w14:paraId="2DE24503" w14:textId="72C380BB" w:rsidR="00B44BB6" w:rsidRPr="001C1423" w:rsidRDefault="00C863B6">
            <w:pPr>
              <w:rPr>
                <w:color w:val="112645"/>
              </w:rPr>
            </w:pPr>
            <w:r w:rsidRPr="001C1423">
              <w:rPr>
                <w:color w:val="112645"/>
              </w:rPr>
              <w:t xml:space="preserve">Contact Person Webpage: </w:t>
            </w:r>
            <w:hyperlink r:id="rId9" w:history="1">
              <w:r w:rsidR="00D86D2E" w:rsidRPr="002F3D52">
                <w:rPr>
                  <w:rStyle w:val="Hyperlink"/>
                </w:rPr>
                <w:t>https://www.biu.ac.il/en/science-and-research/research/galilee-sphere</w:t>
              </w:r>
            </w:hyperlink>
            <w:r w:rsidR="00D86D2E">
              <w:rPr>
                <w:color w:val="112645"/>
              </w:rPr>
              <w:t xml:space="preserve"> </w:t>
            </w:r>
          </w:p>
        </w:tc>
      </w:tr>
    </w:tbl>
    <w:p w14:paraId="73349B2E" w14:textId="77777777" w:rsidR="00B44BB6" w:rsidRPr="001C1423" w:rsidRDefault="00B44BB6">
      <w:pPr>
        <w:rPr>
          <w:color w:val="112645"/>
        </w:rPr>
      </w:pPr>
    </w:p>
    <w:p w14:paraId="443228E6" w14:textId="36E84606" w:rsidR="00B44BB6" w:rsidRPr="001C1423" w:rsidRDefault="00C863B6" w:rsidP="001230F8">
      <w:pPr>
        <w:rPr>
          <w:color w:val="112645"/>
        </w:rPr>
      </w:pPr>
      <w:r w:rsidRPr="001C1423">
        <w:rPr>
          <w:color w:val="112645"/>
        </w:rPr>
        <w:t xml:space="preserve">Date: </w:t>
      </w:r>
      <w:r w:rsidR="00A45644">
        <w:rPr>
          <w:color w:val="112645"/>
        </w:rPr>
        <w:t>12</w:t>
      </w:r>
      <w:r w:rsidR="001230F8">
        <w:rPr>
          <w:color w:val="112645"/>
        </w:rPr>
        <w:t>/05/2024</w:t>
      </w:r>
    </w:p>
    <w:p w14:paraId="6CBA43AC" w14:textId="77777777" w:rsidR="00680AC7" w:rsidRPr="001C1423" w:rsidRDefault="00680AC7">
      <w:pPr>
        <w:rPr>
          <w:color w:val="112645"/>
        </w:rPr>
      </w:pPr>
    </w:p>
    <w:sectPr w:rsidR="00680AC7" w:rsidRPr="001C1423">
      <w:headerReference w:type="default" r:id="rId10"/>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C6AD" w14:textId="77777777" w:rsidR="003F258C" w:rsidRDefault="003F258C" w:rsidP="001C1423">
      <w:pPr>
        <w:spacing w:after="0" w:line="240" w:lineRule="auto"/>
      </w:pPr>
      <w:r>
        <w:separator/>
      </w:r>
    </w:p>
  </w:endnote>
  <w:endnote w:type="continuationSeparator" w:id="0">
    <w:p w14:paraId="12A7AD69" w14:textId="77777777" w:rsidR="003F258C" w:rsidRDefault="003F258C" w:rsidP="001C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10DA" w14:textId="77777777" w:rsidR="003F258C" w:rsidRDefault="003F258C" w:rsidP="001C1423">
      <w:pPr>
        <w:spacing w:after="0" w:line="240" w:lineRule="auto"/>
      </w:pPr>
      <w:r>
        <w:separator/>
      </w:r>
    </w:p>
  </w:footnote>
  <w:footnote w:type="continuationSeparator" w:id="0">
    <w:p w14:paraId="7D45BA09" w14:textId="77777777" w:rsidR="003F258C" w:rsidRDefault="003F258C" w:rsidP="001C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6E29" w14:textId="382DC08D" w:rsidR="001C1423" w:rsidRDefault="001C1423">
    <w:pPr>
      <w:pStyle w:val="Header"/>
    </w:pPr>
    <w:r>
      <w:rPr>
        <w:rFonts w:hint="cs"/>
        <w:noProof/>
      </w:rPr>
      <w:drawing>
        <wp:anchor distT="0" distB="0" distL="114300" distR="114300" simplePos="0" relativeHeight="251659264" behindDoc="0" locked="0" layoutInCell="1" allowOverlap="1" wp14:anchorId="0CD18F5D" wp14:editId="677315FD">
          <wp:simplePos x="0" y="0"/>
          <wp:positionH relativeFrom="column">
            <wp:posOffset>5225142</wp:posOffset>
          </wp:positionH>
          <wp:positionV relativeFrom="paragraph">
            <wp:posOffset>-154511</wp:posOffset>
          </wp:positionV>
          <wp:extent cx="1309370" cy="731520"/>
          <wp:effectExtent l="0" t="0" r="5080" b="0"/>
          <wp:wrapSquare wrapText="bothSides"/>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37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F84EF2"/>
    <w:multiLevelType w:val="hybridMultilevel"/>
    <w:tmpl w:val="8E2CD01E"/>
    <w:lvl w:ilvl="0" w:tplc="B212F27E">
      <w:start w:val="1"/>
      <w:numFmt w:val="bullet"/>
      <w:lvlText w:val="►"/>
      <w:lvlJc w:val="left"/>
      <w:pPr>
        <w:ind w:left="360" w:hanging="360"/>
      </w:pPr>
      <w:rPr>
        <w:rFonts w:ascii="Arial" w:hAnsi="Arial" w:cs="Arial" w:hint="default"/>
        <w:color w:val="808080" w:themeColor="background1" w:themeShade="8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78896">
    <w:abstractNumId w:val="2"/>
  </w:num>
  <w:num w:numId="2" w16cid:durableId="987053476">
    <w:abstractNumId w:val="0"/>
  </w:num>
  <w:num w:numId="3" w16cid:durableId="14490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szS3MDUwsbQ0MTRV0lEKTi0uzszPAykwrAUA8eLxASwAAAA="/>
  </w:docVars>
  <w:rsids>
    <w:rsidRoot w:val="00B44BB6"/>
    <w:rsid w:val="0011462D"/>
    <w:rsid w:val="001230F8"/>
    <w:rsid w:val="00135DA7"/>
    <w:rsid w:val="001C1423"/>
    <w:rsid w:val="001D3562"/>
    <w:rsid w:val="00203E7B"/>
    <w:rsid w:val="00270684"/>
    <w:rsid w:val="002B5517"/>
    <w:rsid w:val="00322058"/>
    <w:rsid w:val="003824EC"/>
    <w:rsid w:val="003F258C"/>
    <w:rsid w:val="0042067B"/>
    <w:rsid w:val="004627C6"/>
    <w:rsid w:val="00587EB3"/>
    <w:rsid w:val="00671DC5"/>
    <w:rsid w:val="00675B62"/>
    <w:rsid w:val="00680AC7"/>
    <w:rsid w:val="006F3EEE"/>
    <w:rsid w:val="00717548"/>
    <w:rsid w:val="007D4B49"/>
    <w:rsid w:val="00805D34"/>
    <w:rsid w:val="00863568"/>
    <w:rsid w:val="00946A1E"/>
    <w:rsid w:val="00967D2D"/>
    <w:rsid w:val="009B0321"/>
    <w:rsid w:val="009D70EE"/>
    <w:rsid w:val="009D78B2"/>
    <w:rsid w:val="009E2E53"/>
    <w:rsid w:val="00A13A74"/>
    <w:rsid w:val="00A45644"/>
    <w:rsid w:val="00A85FA9"/>
    <w:rsid w:val="00AC78C1"/>
    <w:rsid w:val="00B44BB6"/>
    <w:rsid w:val="00BD0B2A"/>
    <w:rsid w:val="00C603AF"/>
    <w:rsid w:val="00C863B6"/>
    <w:rsid w:val="00D43613"/>
    <w:rsid w:val="00D86D2E"/>
    <w:rsid w:val="00DF1C18"/>
    <w:rsid w:val="00E55131"/>
    <w:rsid w:val="00EA149F"/>
    <w:rsid w:val="00EC7459"/>
    <w:rsid w:val="00ED40BB"/>
    <w:rsid w:val="00F22887"/>
    <w:rsid w:val="00F92F2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4D48"/>
  <w15:docId w15:val="{6F7CEB00-9BFC-4F4F-83FB-5261D743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068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80AC7"/>
    <w:rPr>
      <w:color w:val="0000FF" w:themeColor="hyperlink"/>
      <w:u w:val="single"/>
    </w:rPr>
  </w:style>
  <w:style w:type="character" w:styleId="UnresolvedMention">
    <w:name w:val="Unresolved Mention"/>
    <w:basedOn w:val="DefaultParagraphFont"/>
    <w:uiPriority w:val="99"/>
    <w:semiHidden/>
    <w:unhideWhenUsed/>
    <w:rsid w:val="00680AC7"/>
    <w:rPr>
      <w:color w:val="605E5C"/>
      <w:shd w:val="clear" w:color="auto" w:fill="E1DFDD"/>
    </w:rPr>
  </w:style>
  <w:style w:type="paragraph" w:styleId="Header">
    <w:name w:val="header"/>
    <w:basedOn w:val="Normal"/>
    <w:link w:val="HeaderChar"/>
    <w:uiPriority w:val="99"/>
    <w:unhideWhenUsed/>
    <w:rsid w:val="001C1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423"/>
  </w:style>
  <w:style w:type="paragraph" w:styleId="Footer">
    <w:name w:val="footer"/>
    <w:basedOn w:val="Normal"/>
    <w:link w:val="FooterChar"/>
    <w:uiPriority w:val="99"/>
    <w:unhideWhenUsed/>
    <w:rsid w:val="001C1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5593">
      <w:bodyDiv w:val="1"/>
      <w:marLeft w:val="0"/>
      <w:marRight w:val="0"/>
      <w:marTop w:val="0"/>
      <w:marBottom w:val="0"/>
      <w:divBdr>
        <w:top w:val="none" w:sz="0" w:space="0" w:color="auto"/>
        <w:left w:val="none" w:sz="0" w:space="0" w:color="auto"/>
        <w:bottom w:val="none" w:sz="0" w:space="0" w:color="auto"/>
        <w:right w:val="none" w:sz="0" w:space="0" w:color="auto"/>
      </w:divBdr>
    </w:div>
    <w:div w:id="1490708676">
      <w:bodyDiv w:val="1"/>
      <w:marLeft w:val="0"/>
      <w:marRight w:val="0"/>
      <w:marTop w:val="0"/>
      <w:marBottom w:val="0"/>
      <w:divBdr>
        <w:top w:val="none" w:sz="0" w:space="0" w:color="auto"/>
        <w:left w:val="none" w:sz="0" w:space="0" w:color="auto"/>
        <w:bottom w:val="none" w:sz="0" w:space="0" w:color="auto"/>
        <w:right w:val="none" w:sz="0" w:space="0" w:color="auto"/>
      </w:divBdr>
    </w:div>
    <w:div w:id="1529218249">
      <w:bodyDiv w:val="1"/>
      <w:marLeft w:val="0"/>
      <w:marRight w:val="0"/>
      <w:marTop w:val="0"/>
      <w:marBottom w:val="0"/>
      <w:divBdr>
        <w:top w:val="none" w:sz="0" w:space="0" w:color="auto"/>
        <w:left w:val="none" w:sz="0" w:space="0" w:color="auto"/>
        <w:bottom w:val="none" w:sz="0" w:space="0" w:color="auto"/>
        <w:right w:val="none" w:sz="0" w:space="0" w:color="auto"/>
      </w:divBdr>
    </w:div>
    <w:div w:id="175180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in.duifhuizen@biu.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u.ac.il/en/science-and-research/research/galilee-sph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6E86-0B60-442C-AA68-9D9F79E2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1009</Words>
  <Characters>5753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SciencesPo</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Braun, Nina</dc:creator>
  <cp:lastModifiedBy>נטליה גורדון לוקובסקי</cp:lastModifiedBy>
  <cp:revision>5</cp:revision>
  <dcterms:created xsi:type="dcterms:W3CDTF">2024-05-12T08:09:00Z</dcterms:created>
  <dcterms:modified xsi:type="dcterms:W3CDTF">2024-05-12T08:13:00Z</dcterms:modified>
</cp:coreProperties>
</file>